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2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15"/>
          <w:sz w:val="32"/>
          <w:szCs w:val="32"/>
        </w:rPr>
        <w:t>附件</w:t>
      </w:r>
      <w:r>
        <w:rPr>
          <w:rFonts w:ascii="黑体" w:hAnsi="黑体" w:eastAsia="黑体" w:cs="黑体"/>
          <w:b w:val="0"/>
          <w:bCs w:val="0"/>
          <w:spacing w:val="-54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5"/>
          <w:sz w:val="32"/>
          <w:szCs w:val="32"/>
        </w:rPr>
        <w:t>2</w:t>
      </w:r>
    </w:p>
    <w:p>
      <w:pPr>
        <w:spacing w:before="111" w:line="219" w:lineRule="auto"/>
        <w:rPr>
          <w:rFonts w:ascii="宋体" w:hAnsi="宋体" w:eastAsia="宋体" w:cs="宋体"/>
          <w:b/>
          <w:bCs/>
          <w:spacing w:val="13"/>
          <w:sz w:val="34"/>
          <w:szCs w:val="34"/>
        </w:rPr>
      </w:pPr>
    </w:p>
    <w:p>
      <w:pPr>
        <w:spacing w:before="111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44"/>
          <w:szCs w:val="44"/>
        </w:rPr>
        <w:t>2023年度部门整体支出绩效自评表</w:t>
      </w:r>
    </w:p>
    <w:p/>
    <w:tbl>
      <w:tblPr>
        <w:tblStyle w:val="8"/>
        <w:tblW w:w="99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059"/>
        <w:gridCol w:w="696"/>
        <w:gridCol w:w="1015"/>
        <w:gridCol w:w="1187"/>
        <w:gridCol w:w="3113"/>
        <w:gridCol w:w="412"/>
        <w:gridCol w:w="603"/>
        <w:gridCol w:w="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74" w:type="dxa"/>
            <w:vAlign w:val="center"/>
          </w:tcPr>
          <w:p>
            <w:pPr>
              <w:spacing w:before="32" w:line="204" w:lineRule="auto"/>
              <w:ind w:left="125" w:right="128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市级预算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部门名称</w:t>
            </w:r>
          </w:p>
        </w:tc>
        <w:tc>
          <w:tcPr>
            <w:tcW w:w="8916" w:type="dxa"/>
            <w:gridSpan w:val="8"/>
            <w:vAlign w:val="center"/>
          </w:tcPr>
          <w:p>
            <w:pPr>
              <w:tabs>
                <w:tab w:val="left" w:pos="940"/>
              </w:tabs>
              <w:bidi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岳阳市总工会整体支出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line="461" w:lineRule="auto"/>
            </w:pPr>
          </w:p>
          <w:p>
            <w:pPr>
              <w:spacing w:before="65" w:line="218" w:lineRule="auto"/>
              <w:ind w:left="225" w:right="19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年度预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算申请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(万元)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before="18" w:line="195" w:lineRule="auto"/>
              <w:ind w:left="122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年初</w:t>
            </w:r>
          </w:p>
          <w:p>
            <w:pPr>
              <w:spacing w:before="18" w:line="195" w:lineRule="auto"/>
              <w:ind w:left="12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预算数</w:t>
            </w:r>
          </w:p>
        </w:tc>
        <w:tc>
          <w:tcPr>
            <w:tcW w:w="1187" w:type="dxa"/>
            <w:vAlign w:val="center"/>
          </w:tcPr>
          <w:p>
            <w:pPr>
              <w:spacing w:before="18" w:line="195" w:lineRule="auto"/>
              <w:ind w:left="144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</w:t>
            </w:r>
          </w:p>
          <w:p>
            <w:pPr>
              <w:spacing w:before="18" w:line="195" w:lineRule="auto"/>
              <w:ind w:left="1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预算数</w:t>
            </w:r>
          </w:p>
        </w:tc>
        <w:tc>
          <w:tcPr>
            <w:tcW w:w="3113" w:type="dxa"/>
            <w:vAlign w:val="center"/>
          </w:tcPr>
          <w:p>
            <w:pPr>
              <w:spacing w:before="18" w:line="195" w:lineRule="auto"/>
              <w:ind w:left="125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全年</w:t>
            </w:r>
          </w:p>
          <w:p>
            <w:pPr>
              <w:spacing w:before="18" w:line="195" w:lineRule="auto"/>
              <w:ind w:left="12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执行数</w:t>
            </w:r>
          </w:p>
        </w:tc>
        <w:tc>
          <w:tcPr>
            <w:tcW w:w="412" w:type="dxa"/>
            <w:vAlign w:val="center"/>
          </w:tcPr>
          <w:p>
            <w:pPr>
              <w:spacing w:before="18" w:line="195" w:lineRule="auto"/>
              <w:ind w:left="14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603" w:type="dxa"/>
            <w:vAlign w:val="center"/>
          </w:tcPr>
          <w:p>
            <w:pPr>
              <w:spacing w:before="18" w:line="195" w:lineRule="auto"/>
              <w:ind w:left="13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执行率</w:t>
            </w:r>
          </w:p>
        </w:tc>
        <w:tc>
          <w:tcPr>
            <w:tcW w:w="831" w:type="dxa"/>
            <w:vAlign w:val="center"/>
          </w:tcPr>
          <w:p>
            <w:pPr>
              <w:spacing w:before="18" w:line="195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pacing w:before="18" w:line="186" w:lineRule="auto"/>
              <w:ind w:left="44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年度资金总额</w:t>
            </w:r>
          </w:p>
        </w:tc>
        <w:tc>
          <w:tcPr>
            <w:tcW w:w="1015" w:type="dxa"/>
            <w:vAlign w:val="center"/>
          </w:tcPr>
          <w:p>
            <w:pPr>
              <w:pStyle w:val="9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7382200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17823459.88</w:t>
            </w:r>
          </w:p>
        </w:tc>
        <w:tc>
          <w:tcPr>
            <w:tcW w:w="3113" w:type="dxa"/>
            <w:vAlign w:val="center"/>
          </w:tcPr>
          <w:p>
            <w:pPr>
              <w:pStyle w:val="9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17823459.88</w:t>
            </w:r>
          </w:p>
        </w:tc>
        <w:tc>
          <w:tcPr>
            <w:tcW w:w="412" w:type="dxa"/>
            <w:vAlign w:val="center"/>
          </w:tcPr>
          <w:p>
            <w:pPr>
              <w:spacing w:before="70" w:line="150" w:lineRule="exact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0"/>
                <w:szCs w:val="20"/>
              </w:rPr>
              <w:t>10</w:t>
            </w:r>
          </w:p>
        </w:tc>
        <w:tc>
          <w:tcPr>
            <w:tcW w:w="603" w:type="dxa"/>
            <w:vAlign w:val="center"/>
          </w:tcPr>
          <w:p>
            <w:pPr>
              <w:pStyle w:val="9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100%</w:t>
            </w:r>
          </w:p>
        </w:tc>
        <w:tc>
          <w:tcPr>
            <w:tcW w:w="831" w:type="dxa"/>
            <w:vAlign w:val="center"/>
          </w:tcPr>
          <w:p>
            <w:pPr>
              <w:pStyle w:val="9"/>
              <w:spacing w:line="220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3957" w:type="dxa"/>
            <w:gridSpan w:val="4"/>
            <w:vAlign w:val="center"/>
          </w:tcPr>
          <w:p>
            <w:pPr>
              <w:spacing w:before="18" w:line="185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按收入性质分：</w:t>
            </w:r>
          </w:p>
        </w:tc>
        <w:tc>
          <w:tcPr>
            <w:tcW w:w="4959" w:type="dxa"/>
            <w:gridSpan w:val="4"/>
            <w:vAlign w:val="center"/>
          </w:tcPr>
          <w:p>
            <w:pPr>
              <w:spacing w:before="18" w:line="185" w:lineRule="auto"/>
              <w:ind w:left="12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3957" w:type="dxa"/>
            <w:gridSpan w:val="4"/>
            <w:vAlign w:val="center"/>
          </w:tcPr>
          <w:p>
            <w:pPr>
              <w:spacing w:before="29" w:line="185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其中</w:t>
            </w:r>
            <w:r>
              <w:rPr>
                <w:rFonts w:hint="eastAsia" w:ascii="宋体" w:hAnsi="宋体" w:eastAsia="宋体" w:cs="宋体"/>
                <w:spacing w:val="-7"/>
                <w:sz w:val="20"/>
                <w:szCs w:val="20"/>
                <w:lang w:val="en-US" w:eastAsia="zh-CN"/>
              </w:rPr>
              <w:t>: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一般公共预算：</w:t>
            </w:r>
            <w:r>
              <w:rPr>
                <w:rFonts w:hint="eastAsia" w:eastAsia="宋体"/>
                <w:sz w:val="19"/>
                <w:lang w:val="en-US" w:eastAsia="zh-CN"/>
              </w:rPr>
              <w:t>17823459.88</w:t>
            </w:r>
          </w:p>
        </w:tc>
        <w:tc>
          <w:tcPr>
            <w:tcW w:w="4959" w:type="dxa"/>
            <w:gridSpan w:val="4"/>
            <w:vAlign w:val="center"/>
          </w:tcPr>
          <w:p>
            <w:pPr>
              <w:spacing w:before="19" w:line="194" w:lineRule="auto"/>
              <w:ind w:left="125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其中：基本支出：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11444250.88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3957" w:type="dxa"/>
            <w:gridSpan w:val="4"/>
            <w:vAlign w:val="center"/>
          </w:tcPr>
          <w:p>
            <w:pPr>
              <w:spacing w:before="29" w:line="19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政府性基金拨款：</w:t>
            </w:r>
          </w:p>
        </w:tc>
        <w:tc>
          <w:tcPr>
            <w:tcW w:w="4959" w:type="dxa"/>
            <w:gridSpan w:val="4"/>
            <w:vAlign w:val="center"/>
          </w:tcPr>
          <w:p>
            <w:pPr>
              <w:tabs>
                <w:tab w:val="center" w:pos="2130"/>
              </w:tabs>
              <w:spacing w:before="30" w:line="193" w:lineRule="auto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项目支出：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</w:rPr>
              <w:t>6379209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3957" w:type="dxa"/>
            <w:gridSpan w:val="4"/>
            <w:vAlign w:val="center"/>
          </w:tcPr>
          <w:p>
            <w:pPr>
              <w:spacing w:before="19" w:line="185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纳入专户管理的非税收入拨款：</w:t>
            </w:r>
          </w:p>
        </w:tc>
        <w:tc>
          <w:tcPr>
            <w:tcW w:w="4959" w:type="dxa"/>
            <w:gridSpan w:val="4"/>
            <w:vAlign w:val="center"/>
          </w:tcPr>
          <w:p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3957" w:type="dxa"/>
            <w:gridSpan w:val="4"/>
            <w:vAlign w:val="center"/>
          </w:tcPr>
          <w:p>
            <w:pPr>
              <w:spacing w:before="20" w:line="18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其他资金：</w:t>
            </w:r>
          </w:p>
        </w:tc>
        <w:tc>
          <w:tcPr>
            <w:tcW w:w="4959" w:type="dxa"/>
            <w:gridSpan w:val="4"/>
            <w:vAlign w:val="center"/>
          </w:tcPr>
          <w:p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>
            <w:pPr>
              <w:spacing w:before="40" w:line="207" w:lineRule="auto"/>
              <w:ind w:left="324" w:right="147" w:hanging="1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年度总体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目标</w:t>
            </w:r>
          </w:p>
        </w:tc>
        <w:tc>
          <w:tcPr>
            <w:tcW w:w="3957" w:type="dxa"/>
            <w:gridSpan w:val="4"/>
            <w:vAlign w:val="center"/>
          </w:tcPr>
          <w:p>
            <w:pPr>
              <w:spacing w:before="31" w:line="192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预期目标</w:t>
            </w:r>
          </w:p>
        </w:tc>
        <w:tc>
          <w:tcPr>
            <w:tcW w:w="4959" w:type="dxa"/>
            <w:gridSpan w:val="4"/>
            <w:vAlign w:val="center"/>
          </w:tcPr>
          <w:p>
            <w:pPr>
              <w:spacing w:before="29" w:line="19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  <w:jc w:val="center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3957" w:type="dxa"/>
            <w:gridSpan w:val="4"/>
            <w:vAlign w:val="center"/>
          </w:tcPr>
          <w:p>
            <w:pPr>
              <w:pStyle w:val="9"/>
              <w:spacing w:line="230" w:lineRule="exact"/>
              <w:ind w:firstLine="400" w:firstLineChars="200"/>
              <w:jc w:val="both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 xml:space="preserve"> 维护职工群众的合法权益，参与劳动关系的协调处理，开展职工安全生产和劳动保护工作，参与重大伤亡事故的调查处理；开展劳动竞赛、职工文体活动；做好劳模的推荐、评选和具体负责劳模的日常管理工作</w:t>
            </w:r>
          </w:p>
        </w:tc>
        <w:tc>
          <w:tcPr>
            <w:tcW w:w="4959" w:type="dxa"/>
            <w:gridSpan w:val="4"/>
            <w:vAlign w:val="center"/>
          </w:tcPr>
          <w:p>
            <w:pPr>
              <w:pStyle w:val="9"/>
              <w:tabs>
                <w:tab w:val="left" w:pos="619"/>
              </w:tabs>
              <w:spacing w:line="230" w:lineRule="exact"/>
              <w:ind w:firstLine="400" w:firstLineChars="200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积极推荐和参评全国、省五一劳动奖和工人先锋号，21个集体和个人获评全国、省级荣誉，首次评选市五一劳动奖状10个、市五一劳动奖章40名，评选“巴陵工匠”21名。实地慰问58名劳模和巴陵工匠，组织900多人次技术工人疗休养 132名劳模开展疗休养、慰问帮扶困难职工子女800多人；投入“冬送温暖”资金1500多万元，慰问困难职工、一线职工和农民工3万多人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107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9"/>
              <w:spacing w:line="360" w:lineRule="auto"/>
            </w:pPr>
          </w:p>
          <w:p>
            <w:pPr>
              <w:spacing w:before="67" w:line="217" w:lineRule="auto"/>
              <w:ind w:left="3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绩效指标</w:t>
            </w:r>
          </w:p>
        </w:tc>
        <w:tc>
          <w:tcPr>
            <w:tcW w:w="1059" w:type="dxa"/>
            <w:vAlign w:val="center"/>
          </w:tcPr>
          <w:p>
            <w:pPr>
              <w:spacing w:before="141" w:line="220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一级指标</w:t>
            </w:r>
          </w:p>
        </w:tc>
        <w:tc>
          <w:tcPr>
            <w:tcW w:w="696" w:type="dxa"/>
            <w:vAlign w:val="center"/>
          </w:tcPr>
          <w:p>
            <w:pPr>
              <w:spacing w:before="141" w:line="220" w:lineRule="auto"/>
              <w:ind w:left="10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二级指标</w:t>
            </w:r>
          </w:p>
        </w:tc>
        <w:tc>
          <w:tcPr>
            <w:tcW w:w="1015" w:type="dxa"/>
            <w:vAlign w:val="center"/>
          </w:tcPr>
          <w:p>
            <w:pPr>
              <w:spacing w:before="141" w:line="220" w:lineRule="auto"/>
              <w:ind w:left="223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三级</w:t>
            </w:r>
          </w:p>
          <w:p>
            <w:pPr>
              <w:spacing w:before="141" w:line="220" w:lineRule="auto"/>
              <w:ind w:left="22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指标</w:t>
            </w:r>
          </w:p>
        </w:tc>
        <w:tc>
          <w:tcPr>
            <w:tcW w:w="1187" w:type="dxa"/>
            <w:vAlign w:val="center"/>
          </w:tcPr>
          <w:p>
            <w:pPr>
              <w:spacing w:before="141" w:line="219" w:lineRule="auto"/>
              <w:ind w:left="144"/>
              <w:jc w:val="center"/>
              <w:rPr>
                <w:rFonts w:ascii="宋体" w:hAnsi="宋体" w:eastAsia="宋体" w:cs="宋体"/>
                <w:spacing w:val="-2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年度</w:t>
            </w:r>
          </w:p>
          <w:p>
            <w:pPr>
              <w:spacing w:before="141" w:line="219" w:lineRule="auto"/>
              <w:ind w:left="14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指标值</w:t>
            </w:r>
          </w:p>
        </w:tc>
        <w:tc>
          <w:tcPr>
            <w:tcW w:w="3113" w:type="dxa"/>
            <w:vAlign w:val="center"/>
          </w:tcPr>
          <w:p>
            <w:pPr>
              <w:spacing w:before="141" w:line="219" w:lineRule="auto"/>
              <w:ind w:left="125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实际完成值</w:t>
            </w:r>
          </w:p>
        </w:tc>
        <w:tc>
          <w:tcPr>
            <w:tcW w:w="412" w:type="dxa"/>
            <w:vAlign w:val="center"/>
          </w:tcPr>
          <w:p>
            <w:pPr>
              <w:spacing w:before="141" w:line="219" w:lineRule="auto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分值</w:t>
            </w:r>
          </w:p>
        </w:tc>
        <w:tc>
          <w:tcPr>
            <w:tcW w:w="603" w:type="dxa"/>
            <w:vAlign w:val="center"/>
          </w:tcPr>
          <w:p>
            <w:pPr>
              <w:spacing w:before="141" w:line="219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得分</w:t>
            </w:r>
          </w:p>
        </w:tc>
        <w:tc>
          <w:tcPr>
            <w:tcW w:w="831" w:type="dxa"/>
            <w:vAlign w:val="center"/>
          </w:tcPr>
          <w:p>
            <w:pPr>
              <w:spacing w:before="10" w:line="207" w:lineRule="auto"/>
              <w:ind w:left="108" w:right="11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偏差原因分析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及改进措施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line="272" w:lineRule="auto"/>
              <w:jc w:val="center"/>
            </w:pPr>
          </w:p>
          <w:p>
            <w:pPr>
              <w:pStyle w:val="9"/>
              <w:spacing w:line="272" w:lineRule="auto"/>
              <w:jc w:val="center"/>
            </w:pPr>
          </w:p>
          <w:p>
            <w:pPr>
              <w:pStyle w:val="9"/>
              <w:spacing w:line="273" w:lineRule="auto"/>
              <w:jc w:val="center"/>
            </w:pPr>
          </w:p>
          <w:p>
            <w:pPr>
              <w:pStyle w:val="9"/>
              <w:spacing w:line="273" w:lineRule="auto"/>
              <w:jc w:val="center"/>
            </w:pPr>
          </w:p>
          <w:p>
            <w:pPr>
              <w:spacing w:before="65" w:line="219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产出指标</w:t>
            </w:r>
          </w:p>
          <w:p>
            <w:pPr>
              <w:spacing w:before="233" w:line="220" w:lineRule="auto"/>
              <w:ind w:left="2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(50分)</w:t>
            </w: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>
            <w:pPr>
              <w:tabs>
                <w:tab w:val="center" w:pos="509"/>
              </w:tabs>
              <w:spacing w:before="272" w:line="219" w:lineRule="auto"/>
              <w:jc w:val="center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数量</w:t>
            </w:r>
          </w:p>
          <w:p>
            <w:pPr>
              <w:tabs>
                <w:tab w:val="center" w:pos="509"/>
              </w:tabs>
              <w:spacing w:before="272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指标</w:t>
            </w:r>
          </w:p>
        </w:tc>
        <w:tc>
          <w:tcPr>
            <w:tcW w:w="1015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宣传教育活动次数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≥4次</w:t>
            </w:r>
          </w:p>
        </w:tc>
        <w:tc>
          <w:tcPr>
            <w:tcW w:w="3113" w:type="dxa"/>
            <w:vAlign w:val="center"/>
          </w:tcPr>
          <w:p>
            <w:pPr>
              <w:pStyle w:val="9"/>
              <w:spacing w:line="230" w:lineRule="exact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泛深入开展“中国梦·劳动美”主题宣传教育、举办周末课堂、职工学堂、劳模讲堂劳模工匠精神宣传活动、干部培训</w:t>
            </w:r>
            <w:r>
              <w:rPr>
                <w:rFonts w:hint="eastAsia" w:eastAsia="宋体"/>
                <w:sz w:val="20"/>
                <w:lang w:eastAsia="zh-CN"/>
              </w:rPr>
              <w:t>等</w:t>
            </w:r>
          </w:p>
        </w:tc>
        <w:tc>
          <w:tcPr>
            <w:tcW w:w="412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  <w:rPr>
                <w:sz w:val="21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工会文体活动次数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≥4次</w:t>
            </w:r>
          </w:p>
        </w:tc>
        <w:tc>
          <w:tcPr>
            <w:tcW w:w="3113" w:type="dxa"/>
            <w:vAlign w:val="center"/>
          </w:tcPr>
          <w:p>
            <w:pPr>
              <w:pStyle w:val="9"/>
              <w:spacing w:line="230" w:lineRule="exact"/>
              <w:jc w:val="both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sz w:val="20"/>
              </w:rPr>
              <w:t>线上开展学习中国工会十八大精神有奖竞答、举办全市“中国梦·劳动美”首届职工篮球赛、举办“学习二十大 奋进新征程”全市职工演讲比赛暨全民阅读“书香工会·悦读悦美”职工阅读征文活动</w:t>
            </w:r>
            <w:r>
              <w:rPr>
                <w:rFonts w:hint="eastAsia" w:eastAsia="宋体"/>
                <w:sz w:val="20"/>
                <w:lang w:eastAsia="zh-CN"/>
              </w:rPr>
              <w:t>等</w:t>
            </w:r>
          </w:p>
        </w:tc>
        <w:tc>
          <w:tcPr>
            <w:tcW w:w="412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center"/>
              <w:rPr>
                <w:sz w:val="21"/>
                <w:szCs w:val="21"/>
              </w:rPr>
            </w:pPr>
          </w:p>
        </w:tc>
        <w:tc>
          <w:tcPr>
            <w:tcW w:w="1015" w:type="dxa"/>
            <w:vAlign w:val="center"/>
          </w:tcPr>
          <w:p>
            <w:pPr>
              <w:tabs>
                <w:tab w:val="left" w:pos="1089"/>
              </w:tabs>
              <w:spacing w:before="145" w:line="172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工运理论研究建设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spacing w:line="2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≥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5篇</w:t>
            </w:r>
          </w:p>
        </w:tc>
        <w:tc>
          <w:tcPr>
            <w:tcW w:w="3113" w:type="dxa"/>
            <w:vAlign w:val="center"/>
          </w:tcPr>
          <w:p>
            <w:pPr>
              <w:pStyle w:val="9"/>
              <w:spacing w:line="220" w:lineRule="exact"/>
              <w:jc w:val="both"/>
              <w:rPr>
                <w:sz w:val="19"/>
              </w:rPr>
            </w:pPr>
            <w:r>
              <w:rPr>
                <w:rFonts w:hint="eastAsia"/>
                <w:sz w:val="19"/>
              </w:rPr>
              <w:t>组织全市各级工会干部和广大职工积极参加大国工匠论坛征文活动，织开展工运史研讨活动</w:t>
            </w:r>
          </w:p>
        </w:tc>
        <w:tc>
          <w:tcPr>
            <w:tcW w:w="412" w:type="dxa"/>
            <w:vAlign w:val="center"/>
          </w:tcPr>
          <w:p>
            <w:pPr>
              <w:pStyle w:val="9"/>
              <w:spacing w:line="220" w:lineRule="exact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>
            <w:pPr>
              <w:bidi w:val="0"/>
              <w:ind w:firstLine="210" w:firstLineChars="10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>
            <w:pPr>
              <w:spacing w:before="272" w:line="220" w:lineRule="auto"/>
              <w:ind w:left="10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质量指标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预算绩效管理全面推进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完成了市总年度整体收支预算及预算金额20万元以上的12个项目的绩效自评工作。</w:t>
            </w:r>
          </w:p>
        </w:tc>
        <w:tc>
          <w:tcPr>
            <w:tcW w:w="412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小微企业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经费返还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返还完成率≥90%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全市小微企业工会经费支持总额为4806万元，返还进度100%</w:t>
            </w:r>
          </w:p>
        </w:tc>
        <w:tc>
          <w:tcPr>
            <w:tcW w:w="412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活动阵地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完成东风广场移交、工会资产登记和物业化管理工作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东风广场已建成并投入使用，但未完成资产移交和登记。</w:t>
            </w:r>
          </w:p>
        </w:tc>
        <w:tc>
          <w:tcPr>
            <w:tcW w:w="412" w:type="dxa"/>
            <w:vAlign w:val="center"/>
          </w:tcPr>
          <w:p>
            <w:pPr>
              <w:pStyle w:val="9"/>
              <w:spacing w:line="220" w:lineRule="exact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>
            <w:pPr>
              <w:pStyle w:val="9"/>
              <w:spacing w:line="220" w:lineRule="exact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>
            <w:pPr>
              <w:spacing w:before="282" w:line="220" w:lineRule="auto"/>
              <w:ind w:left="10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时效指标</w:t>
            </w:r>
          </w:p>
        </w:tc>
        <w:tc>
          <w:tcPr>
            <w:tcW w:w="1015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预决算上报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按财政时效</w:t>
            </w:r>
          </w:p>
        </w:tc>
        <w:tc>
          <w:tcPr>
            <w:tcW w:w="3113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按时上报</w:t>
            </w:r>
          </w:p>
        </w:tc>
        <w:tc>
          <w:tcPr>
            <w:tcW w:w="412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预决算公开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按财政时效</w:t>
            </w:r>
          </w:p>
        </w:tc>
        <w:tc>
          <w:tcPr>
            <w:tcW w:w="3113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 w:eastAsia="宋体"/>
                <w:sz w:val="20"/>
                <w:lang w:eastAsia="zh-CN"/>
              </w:rPr>
              <w:t>按时上报</w:t>
            </w:r>
          </w:p>
        </w:tc>
        <w:tc>
          <w:tcPr>
            <w:tcW w:w="412" w:type="dxa"/>
            <w:vAlign w:val="center"/>
          </w:tcPr>
          <w:p>
            <w:pPr>
              <w:pStyle w:val="9"/>
              <w:spacing w:line="240" w:lineRule="exact"/>
              <w:ind w:firstLine="200" w:firstLineChars="10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>
            <w:pPr>
              <w:pStyle w:val="9"/>
              <w:spacing w:line="240" w:lineRule="exact"/>
              <w:ind w:firstLine="200" w:firstLineChars="100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>
            <w:pPr>
              <w:pStyle w:val="9"/>
              <w:spacing w:line="24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>
            <w:pPr>
              <w:spacing w:before="272" w:line="219" w:lineRule="auto"/>
              <w:ind w:left="10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成本指标</w:t>
            </w:r>
          </w:p>
        </w:tc>
        <w:tc>
          <w:tcPr>
            <w:tcW w:w="1015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预算安排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从紧</w:t>
            </w:r>
          </w:p>
        </w:tc>
        <w:tc>
          <w:tcPr>
            <w:tcW w:w="3113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启用预算项目库</w:t>
            </w:r>
          </w:p>
        </w:tc>
        <w:tc>
          <w:tcPr>
            <w:tcW w:w="412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资金配置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资金压缩</w:t>
            </w:r>
          </w:p>
        </w:tc>
        <w:tc>
          <w:tcPr>
            <w:tcW w:w="3113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压缩</w:t>
            </w:r>
            <w:r>
              <w:rPr>
                <w:rFonts w:hint="eastAsia" w:eastAsia="宋体"/>
                <w:sz w:val="20"/>
                <w:lang w:val="en-US" w:eastAsia="zh-CN"/>
              </w:rPr>
              <w:t>10%</w:t>
            </w:r>
          </w:p>
        </w:tc>
        <w:tc>
          <w:tcPr>
            <w:tcW w:w="412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603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5</w:t>
            </w:r>
          </w:p>
        </w:tc>
        <w:tc>
          <w:tcPr>
            <w:tcW w:w="831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pStyle w:val="9"/>
              <w:spacing w:line="255" w:lineRule="auto"/>
              <w:jc w:val="center"/>
            </w:pPr>
          </w:p>
          <w:p>
            <w:pPr>
              <w:pStyle w:val="9"/>
              <w:spacing w:line="256" w:lineRule="auto"/>
              <w:jc w:val="center"/>
            </w:pPr>
          </w:p>
          <w:p>
            <w:pPr>
              <w:pStyle w:val="9"/>
              <w:spacing w:line="256" w:lineRule="auto"/>
              <w:jc w:val="center"/>
            </w:pPr>
          </w:p>
          <w:p>
            <w:pPr>
              <w:pStyle w:val="9"/>
              <w:spacing w:line="256" w:lineRule="auto"/>
              <w:jc w:val="center"/>
            </w:pPr>
          </w:p>
          <w:p>
            <w:pPr>
              <w:spacing w:before="65" w:line="220" w:lineRule="auto"/>
              <w:ind w:left="1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效益指标</w:t>
            </w:r>
          </w:p>
          <w:p>
            <w:pPr>
              <w:spacing w:before="241" w:line="220" w:lineRule="auto"/>
              <w:ind w:left="2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(30分)</w:t>
            </w: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>
            <w:pPr>
              <w:spacing w:before="164" w:line="203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经济效益指标</w:t>
            </w:r>
          </w:p>
        </w:tc>
        <w:tc>
          <w:tcPr>
            <w:tcW w:w="1015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412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603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831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  <w:tc>
          <w:tcPr>
            <w:tcW w:w="412" w:type="dxa"/>
            <w:vAlign w:val="center"/>
          </w:tcPr>
          <w:p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  <w:tc>
          <w:tcPr>
            <w:tcW w:w="603" w:type="dxa"/>
            <w:vAlign w:val="center"/>
          </w:tcPr>
          <w:p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  <w:tc>
          <w:tcPr>
            <w:tcW w:w="831" w:type="dxa"/>
            <w:vAlign w:val="center"/>
          </w:tcPr>
          <w:p>
            <w:pPr>
              <w:pStyle w:val="9"/>
              <w:spacing w:line="220" w:lineRule="exact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1187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3113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412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603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  <w:tc>
          <w:tcPr>
            <w:tcW w:w="831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>
            <w:pPr>
              <w:spacing w:before="163" w:line="204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社会效益指标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劳动和技能竞赛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≥10场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开展了20多项市级技能竞赛</w:t>
            </w:r>
          </w:p>
        </w:tc>
        <w:tc>
          <w:tcPr>
            <w:tcW w:w="412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603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31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劳模管理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提升劳模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服务品质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sz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实地慰问58名劳模和巴陵工匠，组织900多人次技术工人疗休养 132名劳模开展疗休养</w:t>
            </w:r>
          </w:p>
        </w:tc>
        <w:tc>
          <w:tcPr>
            <w:tcW w:w="412" w:type="dxa"/>
            <w:vAlign w:val="center"/>
          </w:tcPr>
          <w:p>
            <w:pPr>
              <w:pStyle w:val="9"/>
              <w:spacing w:line="219" w:lineRule="exact"/>
              <w:jc w:val="center"/>
              <w:rPr>
                <w:rFonts w:hint="eastAsia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10</w:t>
            </w:r>
          </w:p>
        </w:tc>
        <w:tc>
          <w:tcPr>
            <w:tcW w:w="603" w:type="dxa"/>
            <w:vAlign w:val="center"/>
          </w:tcPr>
          <w:p>
            <w:pPr>
              <w:pStyle w:val="9"/>
              <w:spacing w:line="219" w:lineRule="exact"/>
              <w:jc w:val="center"/>
              <w:rPr>
                <w:rFonts w:hint="default" w:eastAsia="宋体"/>
                <w:sz w:val="19"/>
                <w:lang w:val="en-US" w:eastAsia="zh-CN"/>
              </w:rPr>
            </w:pPr>
            <w:r>
              <w:rPr>
                <w:rFonts w:hint="eastAsia" w:eastAsia="宋体"/>
                <w:sz w:val="19"/>
                <w:lang w:val="en-US" w:eastAsia="zh-CN"/>
              </w:rPr>
              <w:t>10</w:t>
            </w:r>
          </w:p>
        </w:tc>
        <w:tc>
          <w:tcPr>
            <w:tcW w:w="831" w:type="dxa"/>
            <w:vAlign w:val="center"/>
          </w:tcPr>
          <w:p>
            <w:pPr>
              <w:pStyle w:val="9"/>
              <w:spacing w:line="219" w:lineRule="exact"/>
              <w:jc w:val="center"/>
              <w:rPr>
                <w:sz w:val="1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6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困难职工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帮扶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困难职工帮扶资金重点保障深度困难职工家庭生活、帮助建档困难职工家庭解困脱困</w:t>
            </w:r>
          </w:p>
        </w:tc>
        <w:tc>
          <w:tcPr>
            <w:tcW w:w="31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慰问帮扶困难职工子女800多人；投入“冬送温暖”资金1500多万元，慰问困难职工、一线职工和农民工3万多人</w:t>
            </w:r>
          </w:p>
        </w:tc>
        <w:tc>
          <w:tcPr>
            <w:tcW w:w="412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603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10</w:t>
            </w:r>
          </w:p>
        </w:tc>
        <w:tc>
          <w:tcPr>
            <w:tcW w:w="831" w:type="dxa"/>
            <w:vAlign w:val="center"/>
          </w:tcPr>
          <w:p>
            <w:pPr>
              <w:pStyle w:val="9"/>
              <w:spacing w:line="230" w:lineRule="exact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3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vAlign w:val="center"/>
          </w:tcPr>
          <w:p>
            <w:pPr>
              <w:spacing w:before="127" w:line="219" w:lineRule="auto"/>
              <w:ind w:left="2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满意度</w:t>
            </w:r>
          </w:p>
          <w:p>
            <w:pPr>
              <w:spacing w:before="3" w:line="220" w:lineRule="auto"/>
              <w:ind w:left="321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指标</w:t>
            </w:r>
          </w:p>
          <w:p>
            <w:pPr>
              <w:spacing w:before="11" w:line="220" w:lineRule="auto"/>
              <w:ind w:left="2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(10分)</w:t>
            </w:r>
          </w:p>
        </w:tc>
        <w:tc>
          <w:tcPr>
            <w:tcW w:w="696" w:type="dxa"/>
            <w:vMerge w:val="restart"/>
            <w:tcBorders>
              <w:bottom w:val="nil"/>
            </w:tcBorders>
            <w:vAlign w:val="center"/>
          </w:tcPr>
          <w:p>
            <w:pPr>
              <w:spacing w:before="147" w:line="212" w:lineRule="auto"/>
              <w:ind w:left="10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服务对象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满意度指</w:t>
            </w:r>
          </w:p>
          <w:p>
            <w:pPr>
              <w:spacing w:before="3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1015" w:type="dxa"/>
            <w:vAlign w:val="center"/>
          </w:tcPr>
          <w:p>
            <w:pPr>
              <w:pStyle w:val="9"/>
              <w:jc w:val="center"/>
            </w:pPr>
            <w:r>
              <w:rPr>
                <w:rFonts w:hint="eastAsia"/>
              </w:rPr>
              <w:t>社会公众或服务对象满意度</w:t>
            </w:r>
          </w:p>
        </w:tc>
        <w:tc>
          <w:tcPr>
            <w:tcW w:w="1187" w:type="dxa"/>
            <w:vAlign w:val="center"/>
          </w:tcPr>
          <w:p>
            <w:pPr>
              <w:pStyle w:val="9"/>
              <w:jc w:val="both"/>
            </w:pPr>
            <w:r>
              <w:rPr>
                <w:rFonts w:hint="eastAsia"/>
              </w:rPr>
              <w:t>社会公众或服务对象满意度100%得1</w:t>
            </w:r>
            <w:r>
              <w:rPr>
                <w:rFonts w:hint="eastAsia" w:eastAsia="宋体"/>
                <w:lang w:val="en-US" w:eastAsia="zh-CN"/>
              </w:rPr>
              <w:t>0</w:t>
            </w:r>
            <w:r>
              <w:rPr>
                <w:rFonts w:hint="eastAsia"/>
              </w:rPr>
              <w:t>分，≥90%，得8分，≥80%得7分，≥70%得6分，60%以下得5分。</w:t>
            </w:r>
          </w:p>
        </w:tc>
        <w:tc>
          <w:tcPr>
            <w:tcW w:w="3113" w:type="dxa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100%</w:t>
            </w:r>
          </w:p>
        </w:tc>
        <w:tc>
          <w:tcPr>
            <w:tcW w:w="412" w:type="dxa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603" w:type="dxa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831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9"/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6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1015" w:type="dxa"/>
            <w:vAlign w:val="top"/>
          </w:tcPr>
          <w:p>
            <w:pPr>
              <w:pStyle w:val="9"/>
            </w:pPr>
          </w:p>
        </w:tc>
        <w:tc>
          <w:tcPr>
            <w:tcW w:w="1187" w:type="dxa"/>
            <w:vAlign w:val="top"/>
          </w:tcPr>
          <w:p>
            <w:pPr>
              <w:pStyle w:val="9"/>
            </w:pPr>
          </w:p>
        </w:tc>
        <w:tc>
          <w:tcPr>
            <w:tcW w:w="3113" w:type="dxa"/>
            <w:vAlign w:val="top"/>
          </w:tcPr>
          <w:p>
            <w:pPr>
              <w:pStyle w:val="9"/>
            </w:pPr>
          </w:p>
        </w:tc>
        <w:tc>
          <w:tcPr>
            <w:tcW w:w="412" w:type="dxa"/>
            <w:vAlign w:val="top"/>
          </w:tcPr>
          <w:p>
            <w:pPr>
              <w:pStyle w:val="9"/>
            </w:pPr>
          </w:p>
        </w:tc>
        <w:tc>
          <w:tcPr>
            <w:tcW w:w="603" w:type="dxa"/>
            <w:vAlign w:val="top"/>
          </w:tcPr>
          <w:p>
            <w:pPr>
              <w:pStyle w:val="9"/>
            </w:pPr>
          </w:p>
        </w:tc>
        <w:tc>
          <w:tcPr>
            <w:tcW w:w="831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0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9"/>
            </w:pPr>
          </w:p>
        </w:tc>
        <w:tc>
          <w:tcPr>
            <w:tcW w:w="1059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696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1015" w:type="dxa"/>
            <w:vAlign w:val="top"/>
          </w:tcPr>
          <w:p>
            <w:pPr>
              <w:pStyle w:val="9"/>
            </w:pPr>
          </w:p>
        </w:tc>
        <w:tc>
          <w:tcPr>
            <w:tcW w:w="1187" w:type="dxa"/>
            <w:vAlign w:val="top"/>
          </w:tcPr>
          <w:p>
            <w:pPr>
              <w:pStyle w:val="9"/>
            </w:pPr>
          </w:p>
        </w:tc>
        <w:tc>
          <w:tcPr>
            <w:tcW w:w="3113" w:type="dxa"/>
            <w:vAlign w:val="top"/>
          </w:tcPr>
          <w:p>
            <w:pPr>
              <w:pStyle w:val="9"/>
            </w:pPr>
          </w:p>
        </w:tc>
        <w:tc>
          <w:tcPr>
            <w:tcW w:w="412" w:type="dxa"/>
            <w:vAlign w:val="top"/>
          </w:tcPr>
          <w:p>
            <w:pPr>
              <w:pStyle w:val="9"/>
            </w:pPr>
          </w:p>
        </w:tc>
        <w:tc>
          <w:tcPr>
            <w:tcW w:w="603" w:type="dxa"/>
            <w:vAlign w:val="top"/>
          </w:tcPr>
          <w:p>
            <w:pPr>
              <w:pStyle w:val="9"/>
            </w:pPr>
          </w:p>
        </w:tc>
        <w:tc>
          <w:tcPr>
            <w:tcW w:w="831" w:type="dxa"/>
            <w:vAlign w:val="top"/>
          </w:tcPr>
          <w:p>
            <w:pPr>
              <w:pStyle w:val="9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144" w:type="dxa"/>
            <w:gridSpan w:val="6"/>
            <w:vAlign w:val="center"/>
          </w:tcPr>
          <w:p>
            <w:pPr>
              <w:spacing w:before="48" w:line="207" w:lineRule="exact"/>
              <w:jc w:val="center"/>
            </w:pPr>
            <w:r>
              <w:rPr>
                <w:position w:val="-4"/>
                <w:sz w:val="32"/>
                <w:szCs w:val="32"/>
              </w:rPr>
              <w:drawing>
                <wp:inline distT="0" distB="0" distL="0" distR="0">
                  <wp:extent cx="238760" cy="13081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84" cy="131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" w:type="dxa"/>
            <w:vAlign w:val="center"/>
          </w:tcPr>
          <w:p>
            <w:pPr>
              <w:spacing w:before="89" w:line="166" w:lineRule="exact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position w:val="-2"/>
                <w:sz w:val="20"/>
                <w:szCs w:val="20"/>
              </w:rPr>
              <w:t>100</w:t>
            </w:r>
          </w:p>
        </w:tc>
        <w:tc>
          <w:tcPr>
            <w:tcW w:w="603" w:type="dxa"/>
            <w:vAlign w:val="center"/>
          </w:tcPr>
          <w:p>
            <w:pPr>
              <w:pStyle w:val="9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</w:t>
            </w:r>
          </w:p>
        </w:tc>
        <w:tc>
          <w:tcPr>
            <w:tcW w:w="831" w:type="dxa"/>
            <w:vAlign w:val="center"/>
          </w:tcPr>
          <w:p>
            <w:pPr>
              <w:pStyle w:val="9"/>
              <w:jc w:val="center"/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18" w:lineRule="exact"/>
        <w:sectPr>
          <w:footerReference r:id="rId5" w:type="default"/>
          <w:pgSz w:w="11760" w:h="16690"/>
          <w:pgMar w:top="1418" w:right="865" w:bottom="1304" w:left="894" w:header="0" w:footer="0" w:gutter="0"/>
          <w:pgNumType w:fmt="decimal"/>
          <w:cols w:equalWidth="0" w:num="1">
            <w:col w:w="10001"/>
          </w:cols>
        </w:sectPr>
      </w:pPr>
    </w:p>
    <w:p>
      <w:pPr>
        <w:pStyle w:val="3"/>
        <w:spacing w:before="43" w:line="204" w:lineRule="auto"/>
        <w:rPr>
          <w:rFonts w:hint="eastAsia" w:eastAsia="仿宋"/>
          <w:sz w:val="21"/>
          <w:szCs w:val="21"/>
          <w:lang w:eastAsia="zh-CN"/>
        </w:rPr>
      </w:pPr>
      <w:r>
        <w:rPr>
          <w:spacing w:val="-12"/>
          <w:sz w:val="21"/>
          <w:szCs w:val="21"/>
        </w:rPr>
        <w:t>填表人：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1" w:line="204" w:lineRule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pacing w:val="-6"/>
          <w:sz w:val="21"/>
          <w:szCs w:val="21"/>
        </w:rPr>
        <w:t>填报日期：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3"/>
        <w:spacing w:before="52" w:line="195" w:lineRule="auto"/>
        <w:rPr>
          <w:rFonts w:ascii="Arial"/>
          <w:sz w:val="2"/>
        </w:rPr>
      </w:pPr>
      <w:r>
        <w:rPr>
          <w:spacing w:val="6"/>
          <w:sz w:val="21"/>
          <w:szCs w:val="21"/>
        </w:rPr>
        <w:t>联系电话</w:t>
      </w:r>
      <w:r>
        <w:rPr>
          <w:rFonts w:hint="eastAsia"/>
          <w:spacing w:val="6"/>
          <w:sz w:val="21"/>
          <w:szCs w:val="21"/>
          <w:lang w:val="en-US" w:eastAsia="zh-CN"/>
        </w:rPr>
        <w:t>:</w:t>
      </w: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3"/>
        <w:spacing w:before="58" w:line="189" w:lineRule="auto"/>
        <w:rPr>
          <w:rFonts w:hint="eastAsia"/>
          <w:spacing w:val="-8"/>
          <w:sz w:val="21"/>
          <w:szCs w:val="21"/>
          <w:lang w:val="en-US" w:eastAsia="zh-CN"/>
        </w:rPr>
      </w:pPr>
      <w:r>
        <w:rPr>
          <w:spacing w:val="-8"/>
          <w:sz w:val="21"/>
          <w:szCs w:val="21"/>
        </w:rPr>
        <w:t>单位负责人签字</w:t>
      </w:r>
      <w:r>
        <w:rPr>
          <w:rFonts w:hint="eastAsia"/>
          <w:spacing w:val="-8"/>
          <w:sz w:val="21"/>
          <w:szCs w:val="21"/>
          <w:lang w:val="en-US" w:eastAsia="zh-CN"/>
        </w:rPr>
        <w:t>:</w:t>
      </w:r>
    </w:p>
    <w:p>
      <w:pPr>
        <w:pStyle w:val="3"/>
        <w:spacing w:before="58" w:line="189" w:lineRule="auto"/>
        <w:rPr>
          <w:rFonts w:hint="eastAsia"/>
          <w:spacing w:val="-8"/>
          <w:sz w:val="21"/>
          <w:szCs w:val="21"/>
          <w:lang w:val="en-US" w:eastAsia="zh-CN"/>
        </w:rPr>
      </w:pPr>
    </w:p>
    <w:p>
      <w:pPr>
        <w:pStyle w:val="3"/>
        <w:spacing w:before="58" w:line="189" w:lineRule="auto"/>
        <w:rPr>
          <w:rFonts w:hint="eastAsia"/>
          <w:spacing w:val="-8"/>
          <w:sz w:val="21"/>
          <w:szCs w:val="21"/>
          <w:lang w:val="en-US" w:eastAsia="zh-CN"/>
        </w:rPr>
      </w:pPr>
    </w:p>
    <w:p>
      <w:pPr>
        <w:pStyle w:val="3"/>
        <w:spacing w:line="240" w:lineRule="auto"/>
        <w:rPr>
          <w:rFonts w:hint="eastAsia"/>
          <w:spacing w:val="-8"/>
          <w:sz w:val="21"/>
          <w:szCs w:val="21"/>
          <w:lang w:val="en-US" w:eastAsia="zh-CN"/>
        </w:rPr>
        <w:sectPr>
          <w:type w:val="continuous"/>
          <w:pgSz w:w="11760" w:h="16690"/>
          <w:pgMar w:top="1418" w:right="865" w:bottom="400" w:left="894" w:header="0" w:footer="0" w:gutter="0"/>
          <w:pgNumType w:fmt="decimal"/>
          <w:cols w:equalWidth="0" w:num="4">
            <w:col w:w="2116" w:space="100"/>
            <w:col w:w="1941" w:space="100"/>
            <w:col w:w="2770" w:space="100"/>
            <w:col w:w="2876"/>
          </w:cols>
        </w:sectPr>
      </w:pPr>
    </w:p>
    <w:p>
      <w:pPr>
        <w:rPr>
          <w:rFonts w:ascii="Arial"/>
          <w:sz w:val="21"/>
        </w:rPr>
      </w:pPr>
    </w:p>
    <w:sectPr>
      <w:footerReference r:id="rId6" w:type="default"/>
      <w:pgSz w:w="11620" w:h="16620"/>
      <w:pgMar w:top="1412" w:right="975" w:bottom="997" w:left="955" w:header="0" w:footer="71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60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k1MTcyN2ZjYzk4NzcwM2QwOTVlYTJhZmFjM2FjMDkifQ=="/>
  </w:docVars>
  <w:rsids>
    <w:rsidRoot w:val="00000000"/>
    <w:rsid w:val="02C92423"/>
    <w:rsid w:val="08AC25CB"/>
    <w:rsid w:val="0DC932D7"/>
    <w:rsid w:val="0F3734C7"/>
    <w:rsid w:val="11071033"/>
    <w:rsid w:val="11236997"/>
    <w:rsid w:val="15643175"/>
    <w:rsid w:val="170D606C"/>
    <w:rsid w:val="17937CB8"/>
    <w:rsid w:val="1A073AEB"/>
    <w:rsid w:val="1A70486F"/>
    <w:rsid w:val="1B656D35"/>
    <w:rsid w:val="1BCC1C67"/>
    <w:rsid w:val="1E2D1660"/>
    <w:rsid w:val="1FAD49B2"/>
    <w:rsid w:val="21E34F81"/>
    <w:rsid w:val="29C44C6E"/>
    <w:rsid w:val="2B964CE9"/>
    <w:rsid w:val="34D62491"/>
    <w:rsid w:val="360E7535"/>
    <w:rsid w:val="385775AE"/>
    <w:rsid w:val="3BE41159"/>
    <w:rsid w:val="3BF556C3"/>
    <w:rsid w:val="418313D9"/>
    <w:rsid w:val="42047288"/>
    <w:rsid w:val="47295F09"/>
    <w:rsid w:val="4D5F4AE3"/>
    <w:rsid w:val="4E353A96"/>
    <w:rsid w:val="4F9678C8"/>
    <w:rsid w:val="51DD06CC"/>
    <w:rsid w:val="545E2F8C"/>
    <w:rsid w:val="5BA67D81"/>
    <w:rsid w:val="66300342"/>
    <w:rsid w:val="68A97EC3"/>
    <w:rsid w:val="69D65CD5"/>
    <w:rsid w:val="6A54262A"/>
    <w:rsid w:val="6AED777A"/>
    <w:rsid w:val="6E7F7F46"/>
    <w:rsid w:val="712B1281"/>
    <w:rsid w:val="72DA761B"/>
    <w:rsid w:val="735A34D3"/>
    <w:rsid w:val="76341492"/>
    <w:rsid w:val="7AF50EFB"/>
    <w:rsid w:val="7E4D43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10">
    <w:name w:val="List Paragraph"/>
    <w:basedOn w:val="1"/>
    <w:autoRedefine/>
    <w:qFormat/>
    <w:uiPriority w:val="1"/>
    <w:pPr>
      <w:spacing w:before="171"/>
      <w:ind w:left="1851" w:hanging="481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Normal (Web)"/>
    <w:basedOn w:val="1"/>
    <w:autoRedefine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1203</Words>
  <Characters>1340</Characters>
  <TotalTime>13</TotalTime>
  <ScaleCrop>false</ScaleCrop>
  <LinksUpToDate>false</LinksUpToDate>
  <CharactersWithSpaces>1353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2024-04-08T09:45:00Z</dcterms:created>
  <dc:creator>Administrator</dc:creator>
  <cp:lastModifiedBy>锦瑟流年</cp:lastModifiedBy>
  <cp:lastPrinted>2024-06-24T03:06:00Z</cp:lastPrinted>
  <dcterms:modified xsi:type="dcterms:W3CDTF">2024-07-01T07:42:20Z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2024-04-08T09:45:59Z</vt:filetime>
  </property>
  <property fmtid="{D5CDD505-2E9C-101B-9397-08002B2CF9AE}" pid="4" name="UsrData">
    <vt:lpwstr>66134c51bec53600202814d4wl</vt:lpwstr>
  </property>
  <property fmtid="{D5CDD505-2E9C-101B-9397-08002B2CF9AE}" pid="5" name="KSOProductBuildVer">
    <vt:lpwstr>2052-12.1.0.16929</vt:lpwstr>
  </property>
  <property fmtid="{D5CDD505-2E9C-101B-9397-08002B2CF9AE}" pid="6" name="ICV">
    <vt:lpwstr>B3E33D91F98E40A9AFDEF535D3A743A1_13</vt:lpwstr>
  </property>
</Properties>
</file>