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lang w:eastAsia="zh-CN"/>
        </w:rPr>
        <w:t>中共岳阳市委党校</w:t>
      </w:r>
      <w:r>
        <w:rPr>
          <w:rFonts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218001</w:t>
      </w:r>
      <w:r>
        <w:rPr>
          <w:rFonts w:hint="eastAsia" w:eastAsia="仿宋_GB2312"/>
          <w:spacing w:val="20"/>
          <w:sz w:val="32"/>
          <w:szCs w:val="32"/>
          <w:u w:val="single"/>
        </w:rPr>
        <w:t xml:space="preserve">    </w:t>
      </w:r>
      <w:r>
        <w:rPr>
          <w:rFonts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2</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10</w:t>
      </w:r>
      <w:r>
        <w:rPr>
          <w:rFonts w:hint="eastAsia" w:eastAsia="仿宋_GB2312"/>
          <w:sz w:val="32"/>
        </w:rPr>
        <w:t>日</w:t>
      </w:r>
    </w:p>
    <w:p>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6"/>
        <w:tblW w:w="9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290"/>
        <w:gridCol w:w="1145"/>
        <w:gridCol w:w="272"/>
        <w:gridCol w:w="808"/>
        <w:gridCol w:w="1479"/>
        <w:gridCol w:w="226"/>
        <w:gridCol w:w="196"/>
        <w:gridCol w:w="259"/>
        <w:gridCol w:w="1080"/>
        <w:gridCol w:w="222"/>
        <w:gridCol w:w="182"/>
        <w:gridCol w:w="316"/>
        <w:gridCol w:w="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45"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刘伟清</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51"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15207302210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51"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291"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宣传党的理论、思想、路线、方针、政策，培训全市各级党员干部，对经济与社会发展中的相关问题开展科学研究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91" w:type="dxa"/>
            <w:gridSpan w:val="14"/>
            <w:vAlign w:val="center"/>
          </w:tcPr>
          <w:p>
            <w:pPr>
              <w:numPr>
                <w:ilvl w:val="0"/>
                <w:numId w:val="2"/>
              </w:num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完成2021年主体班1700人次的</w:t>
            </w:r>
            <w:r>
              <w:rPr>
                <w:rFonts w:hint="eastAsia" w:ascii="仿宋_GB2312" w:hAnsi="仿宋_GB2312" w:eastAsia="仿宋_GB2312" w:cs="仿宋_GB2312"/>
                <w:color w:val="000000"/>
                <w:sz w:val="24"/>
              </w:rPr>
              <w:t>干部教育培训</w:t>
            </w:r>
          </w:p>
          <w:p>
            <w:pPr>
              <w:numPr>
                <w:ilvl w:val="0"/>
                <w:numId w:val="2"/>
              </w:num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公务员培训部完成</w:t>
            </w:r>
            <w:r>
              <w:rPr>
                <w:rFonts w:hint="eastAsia" w:ascii="仿宋_GB2312" w:hAnsi="仿宋_GB2312" w:eastAsia="仿宋_GB2312" w:cs="仿宋_GB2312"/>
                <w:color w:val="000000"/>
                <w:sz w:val="24"/>
                <w:lang w:val="en-US" w:eastAsia="zh-CN"/>
              </w:rPr>
              <w:t>22个社会培训班共计9652人次</w:t>
            </w:r>
          </w:p>
          <w:p>
            <w:pPr>
              <w:numPr>
                <w:ilvl w:val="0"/>
                <w:numId w:val="2"/>
              </w:num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举办岳阳市党校系统教学竞赛</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291"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年主体干部教育培训班按计划进行,社会培训班超收完成任务</w:t>
            </w:r>
            <w:r>
              <w:rPr>
                <w:rFonts w:hint="eastAsia" w:ascii="仿宋_GB2312" w:hAnsi="仿宋_GB2312" w:eastAsia="仿宋_GB2312" w:cs="仿宋_GB2312"/>
                <w:color w:val="000000"/>
                <w:sz w:val="24"/>
                <w:lang w:eastAsia="zh-CN"/>
              </w:rPr>
              <w:t>，教学竞赛取得圆满成功。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45"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45"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955"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75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6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9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2425.74</w:t>
            </w:r>
          </w:p>
        </w:tc>
        <w:tc>
          <w:tcPr>
            <w:tcW w:w="1145" w:type="dxa"/>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23.88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2141.11</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5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8"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290" w:type="dxa"/>
            <w:tcBorders>
              <w:righ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2425.74</w:t>
            </w:r>
          </w:p>
        </w:tc>
        <w:tc>
          <w:tcPr>
            <w:tcW w:w="1145" w:type="dxa"/>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23.88</w:t>
            </w:r>
          </w:p>
        </w:tc>
        <w:tc>
          <w:tcPr>
            <w:tcW w:w="1080"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2141.11</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5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8"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p>
            <w:pPr>
              <w:spacing w:line="320" w:lineRule="exact"/>
              <w:rPr>
                <w:rFonts w:ascii="仿宋_GB2312" w:hAnsi="仿宋_GB2312" w:eastAsia="仿宋_GB2312" w:cs="仿宋_GB2312"/>
                <w:sz w:val="24"/>
              </w:rPr>
            </w:pPr>
          </w:p>
          <w:p>
            <w:pPr>
              <w:spacing w:line="320" w:lineRule="exact"/>
              <w:rPr>
                <w:rFonts w:ascii="仿宋_GB2312" w:hAnsi="仿宋_GB2312" w:eastAsia="仿宋_GB2312" w:cs="仿宋_GB2312"/>
                <w:sz w:val="24"/>
              </w:rPr>
            </w:pPr>
          </w:p>
          <w:p>
            <w:pPr>
              <w:spacing w:line="320" w:lineRule="exac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5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6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45"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6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90"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70"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0"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9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2276.47</w:t>
            </w:r>
          </w:p>
        </w:tc>
        <w:tc>
          <w:tcPr>
            <w:tcW w:w="1145" w:type="dxa"/>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2035.87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1527.23</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508.64</w:t>
            </w:r>
          </w:p>
        </w:tc>
        <w:tc>
          <w:tcPr>
            <w:tcW w:w="1080" w:type="dxa"/>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240.6</w:t>
            </w:r>
          </w:p>
        </w:tc>
        <w:tc>
          <w:tcPr>
            <w:tcW w:w="720" w:type="dxa"/>
            <w:gridSpan w:val="3"/>
            <w:tcBorders>
              <w:right w:val="single" w:color="auto" w:sz="4" w:space="0"/>
            </w:tcBorders>
            <w:vAlign w:val="center"/>
          </w:tcPr>
          <w:p>
            <w:pPr>
              <w:autoSpaceDN w:val="0"/>
              <w:spacing w:line="320" w:lineRule="exact"/>
              <w:jc w:val="both"/>
              <w:textAlignment w:val="center"/>
              <w:rPr>
                <w:rFonts w:ascii="仿宋_GB2312" w:hAnsi="仿宋_GB2312" w:eastAsia="仿宋_GB2312" w:cs="仿宋_GB2312"/>
                <w:color w:val="000000"/>
                <w:sz w:val="24"/>
              </w:rPr>
            </w:pPr>
          </w:p>
        </w:tc>
        <w:tc>
          <w:tcPr>
            <w:tcW w:w="770"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29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2276.47</w:t>
            </w:r>
          </w:p>
        </w:tc>
        <w:tc>
          <w:tcPr>
            <w:tcW w:w="114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203.87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1527.23</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508.64</w:t>
            </w:r>
          </w:p>
        </w:tc>
        <w:tc>
          <w:tcPr>
            <w:tcW w:w="1080" w:type="dxa"/>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240.6</w:t>
            </w:r>
          </w:p>
        </w:tc>
        <w:tc>
          <w:tcPr>
            <w:tcW w:w="720" w:type="dxa"/>
            <w:gridSpan w:val="3"/>
            <w:tcBorders>
              <w:right w:val="single" w:color="auto" w:sz="4" w:space="0"/>
            </w:tcBorders>
            <w:vAlign w:val="center"/>
          </w:tcPr>
          <w:p>
            <w:pPr>
              <w:autoSpaceDN w:val="0"/>
              <w:spacing w:line="320" w:lineRule="exact"/>
              <w:jc w:val="both"/>
              <w:textAlignment w:val="center"/>
              <w:rPr>
                <w:rFonts w:ascii="仿宋_GB2312" w:hAnsi="仿宋_GB2312" w:eastAsia="仿宋_GB2312" w:cs="仿宋_GB2312"/>
                <w:color w:val="000000"/>
                <w:sz w:val="24"/>
              </w:rPr>
            </w:pPr>
          </w:p>
        </w:tc>
        <w:tc>
          <w:tcPr>
            <w:tcW w:w="770" w:type="dxa"/>
            <w:tcBorders>
              <w:left w:val="single" w:color="auto" w:sz="4" w:space="0"/>
            </w:tcBorders>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p>
            <w:pPr>
              <w:spacing w:line="320" w:lineRule="exact"/>
              <w:jc w:val="lef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0"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955"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57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9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5.06</w:t>
            </w:r>
          </w:p>
        </w:tc>
        <w:tc>
          <w:tcPr>
            <w:tcW w:w="114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3.84</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29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5.06</w:t>
            </w:r>
          </w:p>
        </w:tc>
        <w:tc>
          <w:tcPr>
            <w:tcW w:w="114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3.84</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4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57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9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586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6"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29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86"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9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4256.83</w:t>
            </w:r>
          </w:p>
          <w:p>
            <w:pPr>
              <w:autoSpaceDN w:val="0"/>
              <w:spacing w:line="320" w:lineRule="exact"/>
              <w:jc w:val="center"/>
              <w:textAlignment w:val="center"/>
              <w:rPr>
                <w:rFonts w:ascii="仿宋_GB2312" w:hAnsi="仿宋_GB2312" w:eastAsia="仿宋_GB2312" w:cs="仿宋_GB2312"/>
                <w:color w:val="000000"/>
                <w:sz w:val="24"/>
              </w:rPr>
            </w:pPr>
          </w:p>
        </w:tc>
        <w:tc>
          <w:tcPr>
            <w:tcW w:w="222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4256.83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4256.83</w:t>
            </w:r>
          </w:p>
        </w:tc>
        <w:tc>
          <w:tcPr>
            <w:tcW w:w="2225" w:type="dxa"/>
            <w:gridSpan w:val="3"/>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4256.83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p>
            <w:pPr>
              <w:spacing w:line="320" w:lineRule="exact"/>
              <w:jc w:val="lef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29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25"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45"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30"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6"/>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目标1：部门支出合理规范</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目标2：干部教育培训按期优质完成</w:t>
            </w:r>
          </w:p>
          <w:p>
            <w:pPr>
              <w:autoSpaceDN w:val="0"/>
              <w:spacing w:line="400" w:lineRule="exact"/>
              <w:jc w:val="left"/>
              <w:textAlignment w:val="center"/>
              <w:rPr>
                <w:rFonts w:ascii="仿宋_GB2312" w:hAnsi="仿宋_GB2312" w:eastAsia="仿宋_GB2312" w:cs="仿宋_GB2312"/>
                <w:color w:val="000000"/>
                <w:sz w:val="24"/>
              </w:rPr>
            </w:pPr>
          </w:p>
        </w:tc>
        <w:tc>
          <w:tcPr>
            <w:tcW w:w="4730" w:type="dxa"/>
            <w:gridSpan w:val="9"/>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部门支出合理，三公经费，出国出境费及公车运行费严格控制逐年递减。干部教育培训按计划优质完成。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2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eastAsia="仿宋_GB2312"/>
                <w:szCs w:val="21"/>
              </w:rPr>
              <w:t>培训合格率≥98%</w:t>
            </w:r>
          </w:p>
        </w:tc>
        <w:tc>
          <w:tcPr>
            <w:tcW w:w="2829" w:type="dxa"/>
            <w:gridSpan w:val="6"/>
            <w:vAlign w:val="center"/>
          </w:tcPr>
          <w:p>
            <w:pPr>
              <w:autoSpaceDN w:val="0"/>
              <w:spacing w:line="400" w:lineRule="exact"/>
              <w:jc w:val="center"/>
              <w:textAlignment w:val="center"/>
              <w:rPr>
                <w:rFonts w:ascii="仿宋_GB2312" w:hAnsi="仿宋_GB2312" w:eastAsia="仿宋_GB2312" w:cs="仿宋_GB2312"/>
                <w:color w:val="000000"/>
                <w:sz w:val="24"/>
              </w:rPr>
            </w:pPr>
            <w:r>
              <w:rPr>
                <w:rFonts w:hint="eastAsia" w:eastAsia="仿宋_GB2312"/>
                <w:szCs w:val="21"/>
              </w:rPr>
              <w:t>合格率99%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eastAsia="仿宋_GB2312"/>
                <w:szCs w:val="21"/>
              </w:rPr>
              <w:t>参训干部出勤率≥98%</w:t>
            </w:r>
          </w:p>
        </w:tc>
        <w:tc>
          <w:tcPr>
            <w:tcW w:w="2829"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eastAsia="仿宋_GB2312"/>
                <w:szCs w:val="21"/>
              </w:rPr>
              <w:t>出勤率99%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color w:val="000000"/>
                <w:sz w:val="24"/>
              </w:rPr>
            </w:pP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p>
        </w:tc>
        <w:tc>
          <w:tcPr>
            <w:tcW w:w="2829"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eastAsia="仿宋_GB2312"/>
                <w:szCs w:val="21"/>
              </w:rPr>
              <w:t>全年组织培训班期数≥2期，12个班</w:t>
            </w:r>
          </w:p>
        </w:tc>
        <w:tc>
          <w:tcPr>
            <w:tcW w:w="2829" w:type="dxa"/>
            <w:gridSpan w:val="6"/>
            <w:vAlign w:val="center"/>
          </w:tcPr>
          <w:p>
            <w:pPr>
              <w:autoSpaceDN w:val="0"/>
              <w:spacing w:line="400" w:lineRule="exact"/>
              <w:jc w:val="center"/>
              <w:textAlignment w:val="center"/>
              <w:rPr>
                <w:rFonts w:ascii="仿宋_GB2312" w:hAnsi="仿宋_GB2312" w:eastAsia="仿宋_GB2312" w:cs="仿宋_GB2312"/>
                <w:b/>
                <w:color w:val="000000"/>
                <w:sz w:val="24"/>
              </w:rPr>
            </w:pPr>
            <w:r>
              <w:rPr>
                <w:rFonts w:hint="eastAsia" w:eastAsia="仿宋_GB2312"/>
                <w:szCs w:val="21"/>
              </w:rPr>
              <w:t>春秋两期共23个班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良好</w:t>
            </w:r>
          </w:p>
        </w:tc>
        <w:tc>
          <w:tcPr>
            <w:tcW w:w="2829" w:type="dxa"/>
            <w:gridSpan w:val="6"/>
            <w:vAlign w:val="center"/>
          </w:tcPr>
          <w:p>
            <w:pPr>
              <w:autoSpaceDN w:val="0"/>
              <w:spacing w:line="36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主体班培训贯彻理论联系实际，学以致用。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3"/>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队伍建设得到新的加强。</w:t>
            </w:r>
          </w:p>
          <w:p>
            <w:pPr>
              <w:autoSpaceDN w:val="0"/>
              <w:spacing w:line="360" w:lineRule="exact"/>
              <w:jc w:val="left"/>
              <w:textAlignment w:val="center"/>
              <w:rPr>
                <w:rFonts w:ascii="仿宋_GB2312" w:hAnsi="仿宋_GB2312" w:eastAsia="仿宋_GB2312" w:cs="仿宋_GB2312"/>
                <w:color w:val="000000"/>
                <w:sz w:val="24"/>
              </w:rPr>
            </w:pPr>
          </w:p>
        </w:tc>
        <w:tc>
          <w:tcPr>
            <w:tcW w:w="2829" w:type="dxa"/>
            <w:gridSpan w:val="6"/>
            <w:vAlign w:val="center"/>
          </w:tcPr>
          <w:p>
            <w:pPr>
              <w:autoSpaceDN w:val="0"/>
              <w:spacing w:line="3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党建工作全面加强，</w:t>
            </w:r>
            <w:r>
              <w:rPr>
                <w:rFonts w:hint="eastAsia" w:ascii="仿宋_GB2312" w:hAnsi="仿宋_GB2312" w:eastAsia="仿宋_GB2312" w:cs="仿宋_GB2312"/>
                <w:sz w:val="24"/>
              </w:rPr>
              <w:t>制定和完善了管理制度；认真组织开展了党支部书记“双述双评”活动；</w:t>
            </w:r>
            <w:r>
              <w:rPr>
                <w:rFonts w:hint="eastAsia" w:ascii="仿宋_GB2312" w:hAnsi="宋体" w:eastAsia="仿宋_GB2312" w:cs="宋体"/>
                <w:sz w:val="24"/>
              </w:rPr>
              <w:t>重点创新党建载体，实行“互联网</w:t>
            </w:r>
            <w:r>
              <w:rPr>
                <w:rFonts w:ascii="仿宋_GB2312" w:hAnsi="宋体" w:eastAsia="仿宋_GB2312" w:cs="宋体"/>
                <w:sz w:val="24"/>
              </w:rPr>
              <w:t>+</w:t>
            </w:r>
            <w:r>
              <w:rPr>
                <w:rFonts w:hint="eastAsia" w:ascii="仿宋_GB2312" w:hAnsi="宋体" w:eastAsia="仿宋_GB2312" w:cs="宋体"/>
                <w:sz w:val="24"/>
              </w:rPr>
              <w:t>党建”，建立网上党组织，各支部建立微信群，实行网上管理党员、服务群众、宣传学习，拓展党建工作信息平台。配合开展“不忘初心，牢记使命”的主题教育活动，着力推进“红星云”手机移动平台学用活动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55"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55"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rPr>
            </w:pPr>
          </w:p>
        </w:tc>
        <w:tc>
          <w:tcPr>
            <w:tcW w:w="6955"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45"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3251"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熊伟</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财务部部长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党校</w:t>
            </w:r>
          </w:p>
        </w:tc>
        <w:tc>
          <w:tcPr>
            <w:tcW w:w="3251"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刘伟清</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科员</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党校</w:t>
            </w:r>
          </w:p>
        </w:tc>
        <w:tc>
          <w:tcPr>
            <w:tcW w:w="3251"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251"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45"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45"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45"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刘伟清</w:t>
      </w:r>
      <w:r>
        <w:rPr>
          <w:rFonts w:eastAsia="仿宋_GB2312" w:cs="仿宋_GB2312"/>
          <w:bCs/>
          <w:sz w:val="28"/>
          <w:szCs w:val="28"/>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15207302210</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（一）部门（单位）基本情况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我校人员编制数为99，在职实有人数为</w:t>
            </w:r>
            <w:r>
              <w:rPr>
                <w:rFonts w:hint="eastAsia" w:ascii="仿宋" w:hAnsi="仿宋" w:eastAsia="仿宋" w:cs="仿宋"/>
                <w:bCs/>
                <w:sz w:val="28"/>
                <w:szCs w:val="28"/>
                <w:lang w:val="en-US" w:eastAsia="zh-CN"/>
              </w:rPr>
              <w:t>90</w:t>
            </w:r>
            <w:r>
              <w:rPr>
                <w:rFonts w:hint="eastAsia" w:ascii="仿宋" w:hAnsi="仿宋" w:eastAsia="仿宋" w:cs="仿宋"/>
                <w:bCs/>
                <w:sz w:val="28"/>
                <w:szCs w:val="28"/>
              </w:rPr>
              <w:t>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（二）我校职能是</w:t>
            </w:r>
            <w:r>
              <w:rPr>
                <w:rFonts w:hint="eastAsia" w:ascii="仿宋" w:hAnsi="仿宋" w:eastAsia="仿宋" w:cs="仿宋"/>
                <w:color w:val="000000"/>
                <w:sz w:val="28"/>
                <w:szCs w:val="28"/>
              </w:rPr>
              <w:t>宣传党的理论、思想、路线、方针、政策，培训全市各级党员干部，对经济与社会发展中的相关问题开展科学研究。</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我校20</w:t>
            </w:r>
            <w:r>
              <w:rPr>
                <w:rFonts w:hint="eastAsia" w:ascii="仿宋" w:hAnsi="仿宋" w:eastAsia="仿宋" w:cs="仿宋"/>
                <w:bCs/>
                <w:sz w:val="28"/>
                <w:szCs w:val="28"/>
                <w:lang w:val="en-US" w:eastAsia="zh-CN"/>
              </w:rPr>
              <w:t>21</w:t>
            </w:r>
            <w:r>
              <w:rPr>
                <w:rFonts w:hint="eastAsia" w:ascii="仿宋" w:hAnsi="仿宋" w:eastAsia="仿宋" w:cs="仿宋"/>
                <w:bCs/>
                <w:sz w:val="28"/>
                <w:szCs w:val="28"/>
              </w:rPr>
              <w:t>年整体支出为</w:t>
            </w:r>
            <w:r>
              <w:rPr>
                <w:rFonts w:hint="eastAsia" w:ascii="仿宋" w:hAnsi="仿宋" w:eastAsia="仿宋" w:cs="仿宋"/>
                <w:bCs/>
                <w:sz w:val="28"/>
                <w:szCs w:val="28"/>
                <w:lang w:val="en-US" w:eastAsia="zh-CN"/>
              </w:rPr>
              <w:t>2276.47</w:t>
            </w:r>
            <w:r>
              <w:rPr>
                <w:rFonts w:hint="eastAsia" w:ascii="仿宋" w:hAnsi="仿宋" w:eastAsia="仿宋" w:cs="仿宋"/>
                <w:bCs/>
                <w:sz w:val="28"/>
                <w:szCs w:val="28"/>
              </w:rPr>
              <w:t>万元。人员支出为</w:t>
            </w:r>
            <w:r>
              <w:rPr>
                <w:rFonts w:hint="eastAsia" w:ascii="仿宋" w:hAnsi="仿宋" w:eastAsia="仿宋" w:cs="仿宋"/>
                <w:bCs/>
                <w:sz w:val="28"/>
                <w:szCs w:val="28"/>
                <w:lang w:val="en-US" w:eastAsia="zh-CN"/>
              </w:rPr>
              <w:t>1527.23</w:t>
            </w:r>
            <w:r>
              <w:rPr>
                <w:rFonts w:hint="eastAsia" w:ascii="仿宋" w:hAnsi="仿宋" w:eastAsia="仿宋" w:cs="仿宋"/>
                <w:bCs/>
                <w:sz w:val="28"/>
                <w:szCs w:val="28"/>
              </w:rPr>
              <w:t>万元，公用支出为</w:t>
            </w:r>
            <w:r>
              <w:rPr>
                <w:rFonts w:hint="eastAsia" w:ascii="仿宋" w:hAnsi="仿宋" w:eastAsia="仿宋" w:cs="仿宋"/>
                <w:bCs/>
                <w:sz w:val="28"/>
                <w:szCs w:val="28"/>
                <w:lang w:val="en-US" w:eastAsia="zh-CN"/>
              </w:rPr>
              <w:t>508.64</w:t>
            </w:r>
            <w:r>
              <w:rPr>
                <w:rFonts w:hint="eastAsia" w:ascii="仿宋" w:hAnsi="仿宋" w:eastAsia="仿宋" w:cs="仿宋"/>
                <w:bCs/>
                <w:sz w:val="28"/>
                <w:szCs w:val="28"/>
              </w:rPr>
              <w:t>万元，项目支出为干部教育培训费</w:t>
            </w:r>
            <w:r>
              <w:rPr>
                <w:rFonts w:hint="eastAsia" w:ascii="仿宋" w:hAnsi="仿宋" w:eastAsia="仿宋" w:cs="仿宋"/>
                <w:bCs/>
                <w:sz w:val="28"/>
                <w:szCs w:val="28"/>
                <w:lang w:val="en-US" w:eastAsia="zh-CN"/>
              </w:rPr>
              <w:t>240.6</w:t>
            </w:r>
            <w:r>
              <w:rPr>
                <w:rFonts w:hint="eastAsia" w:ascii="仿宋" w:hAnsi="仿宋" w:eastAsia="仿宋" w:cs="仿宋"/>
                <w:bCs/>
                <w:sz w:val="28"/>
                <w:szCs w:val="28"/>
              </w:rPr>
              <w:t>万元。</w:t>
            </w:r>
          </w:p>
          <w:p>
            <w:pPr>
              <w:spacing w:line="560" w:lineRule="exact"/>
              <w:ind w:firstLine="420" w:firstLineChars="150"/>
              <w:rPr>
                <w:rFonts w:hint="eastAsia" w:ascii="仿宋" w:hAnsi="仿宋" w:eastAsia="仿宋" w:cs="仿宋"/>
                <w:bCs/>
                <w:sz w:val="28"/>
                <w:szCs w:val="28"/>
              </w:rPr>
            </w:pPr>
            <w:r>
              <w:rPr>
                <w:rFonts w:hint="eastAsia" w:ascii="仿宋" w:hAnsi="仿宋" w:eastAsia="仿宋" w:cs="仿宋"/>
                <w:bCs/>
                <w:sz w:val="28"/>
                <w:szCs w:val="28"/>
              </w:rPr>
              <w:t>三、部门（单位）整体支出绩效情况</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一、干部教育培训支出情况</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2021</w:t>
            </w:r>
            <w:r>
              <w:rPr>
                <w:rFonts w:hint="eastAsia" w:ascii="仿宋" w:hAnsi="仿宋" w:eastAsia="仿宋" w:cs="仿宋"/>
                <w:bCs/>
                <w:sz w:val="28"/>
                <w:szCs w:val="28"/>
              </w:rPr>
              <w:t>年财政预算安排了干部教育培训费</w:t>
            </w:r>
            <w:r>
              <w:rPr>
                <w:rFonts w:hint="eastAsia" w:ascii="仿宋" w:hAnsi="仿宋" w:eastAsia="仿宋" w:cs="仿宋"/>
                <w:bCs/>
                <w:sz w:val="28"/>
                <w:szCs w:val="28"/>
                <w:lang w:val="en-US" w:eastAsia="zh-CN"/>
              </w:rPr>
              <w:t>240.6</w:t>
            </w:r>
            <w:r>
              <w:rPr>
                <w:rFonts w:hint="eastAsia" w:ascii="仿宋" w:hAnsi="仿宋" w:eastAsia="仿宋" w:cs="仿宋"/>
                <w:bCs/>
                <w:sz w:val="28"/>
                <w:szCs w:val="28"/>
              </w:rPr>
              <w:t>万元，资金已拨付</w:t>
            </w:r>
            <w:r>
              <w:rPr>
                <w:rFonts w:hint="eastAsia" w:ascii="仿宋" w:hAnsi="仿宋" w:eastAsia="仿宋" w:cs="仿宋"/>
                <w:bCs/>
                <w:sz w:val="28"/>
                <w:szCs w:val="28"/>
                <w:lang w:val="en-US" w:eastAsia="zh-CN"/>
              </w:rPr>
              <w:t>240.6</w:t>
            </w:r>
            <w:r>
              <w:rPr>
                <w:rFonts w:hint="eastAsia" w:ascii="仿宋" w:hAnsi="仿宋" w:eastAsia="仿宋" w:cs="仿宋"/>
                <w:bCs/>
                <w:sz w:val="28"/>
                <w:szCs w:val="28"/>
              </w:rPr>
              <w:t>万到位。以全面提高党政干部的综合素质，加强党的执政能力建设为培训目标。全年举办了春季和秋季两期干部培训班，共2</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个班，</w:t>
            </w:r>
            <w:r>
              <w:rPr>
                <w:rFonts w:hint="eastAsia" w:ascii="仿宋" w:hAnsi="仿宋" w:eastAsia="仿宋" w:cs="仿宋"/>
                <w:bCs/>
                <w:sz w:val="28"/>
                <w:szCs w:val="28"/>
                <w:lang w:val="en-US" w:eastAsia="zh-CN"/>
              </w:rPr>
              <w:t>1700</w:t>
            </w:r>
            <w:r>
              <w:rPr>
                <w:rFonts w:hint="eastAsia" w:ascii="仿宋" w:hAnsi="仿宋" w:eastAsia="仿宋" w:cs="仿宋"/>
                <w:bCs/>
                <w:sz w:val="28"/>
                <w:szCs w:val="28"/>
              </w:rPr>
              <w:t>人次。</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二、绩效评价工作情况</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绩效评价，提出进一步完善干部培训经费使用和管理措施，提高财政资金使用效益。坚持公开、公正、公平和综合分析原则，依照评价相关评价指标，采取评价小组自评相结合的方法对干部教育培训费和报告厅改造工程进行了客观真实的评价。我校在绩效评价工作过程中成立了以副校长为组长的绩效自评工作小组，制定了评价实施方案开展了绩效自评工作。对两个项目资金的数额、使用、管理、效果情况进行了自查，填报了绩效考核自评评分表。评价小组对自查结果进行了认真审核，按照各项指标进行了打分，开展了绩效自评。</w:t>
            </w:r>
          </w:p>
          <w:p>
            <w:pPr>
              <w:ind w:firstLine="560" w:firstLineChars="200"/>
              <w:rPr>
                <w:rFonts w:hint="eastAsia" w:ascii="黑体" w:hAnsi="黑体" w:eastAsia="黑体" w:cs="黑体"/>
                <w:bCs/>
                <w:sz w:val="28"/>
                <w:szCs w:val="28"/>
              </w:rPr>
            </w:pPr>
            <w:r>
              <w:rPr>
                <w:rFonts w:hint="eastAsia" w:ascii="黑体" w:hAnsi="黑体" w:eastAsia="黑体" w:cs="黑体"/>
                <w:bCs/>
                <w:sz w:val="28"/>
                <w:szCs w:val="28"/>
              </w:rPr>
              <w:t>三、绩效评价指标分析情况</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2021</w:t>
            </w:r>
            <w:r>
              <w:rPr>
                <w:rFonts w:hint="eastAsia" w:ascii="仿宋" w:hAnsi="仿宋" w:eastAsia="仿宋" w:cs="仿宋"/>
                <w:bCs/>
                <w:sz w:val="28"/>
                <w:szCs w:val="28"/>
              </w:rPr>
              <w:t>年市财政按照文件要求及时足额将干部教育培训经费拨付到位。我校依照财务管理制度，严格按照和执行资金使用管理的相关规定，对专项资金实行专款专用、专户核算，保证资金合理有效的使用。</w:t>
            </w:r>
          </w:p>
          <w:p>
            <w:p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rPr>
              <w:t>四、对绩效评价工作的几点建议</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1.市财政局牵头按不同的支出分类构建指标体系库，组织相关人员进行专项培训，培训结束进行考核，构建一支高素质的绩效考评专业队伍。</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2.为了充分调动参与预算绩效管理的积极性，对工作突出的单位应该给予激励机制和倾斜政策。</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通过前述对我</w:t>
            </w:r>
            <w:r>
              <w:rPr>
                <w:rFonts w:hint="eastAsia" w:ascii="仿宋" w:hAnsi="仿宋" w:eastAsia="仿宋" w:cs="仿宋"/>
                <w:bCs/>
                <w:sz w:val="28"/>
                <w:szCs w:val="28"/>
                <w:lang w:eastAsia="zh-CN"/>
              </w:rPr>
              <w:t>校</w:t>
            </w:r>
            <w:r>
              <w:rPr>
                <w:rFonts w:hint="eastAsia" w:ascii="仿宋" w:hAnsi="仿宋" w:eastAsia="仿宋" w:cs="仿宋"/>
                <w:bCs/>
                <w:sz w:val="28"/>
                <w:szCs w:val="28"/>
              </w:rPr>
              <w:t>整体支出情况的分析，反映出目前在整体支出的预算编制、执行和管理过程中，依然存在一些问题和不足：年初未作预算安排，但本年仍实际发生了少部分支出，预算的执行有待进一步加强。针对这些不足，我</w:t>
            </w:r>
            <w:r>
              <w:rPr>
                <w:rFonts w:hint="eastAsia" w:ascii="仿宋" w:hAnsi="仿宋" w:eastAsia="仿宋" w:cs="仿宋"/>
                <w:bCs/>
                <w:sz w:val="28"/>
                <w:szCs w:val="28"/>
                <w:lang w:eastAsia="zh-CN"/>
              </w:rPr>
              <w:t>校</w:t>
            </w:r>
            <w:r>
              <w:rPr>
                <w:rFonts w:hint="eastAsia" w:ascii="仿宋" w:hAnsi="仿宋" w:eastAsia="仿宋" w:cs="仿宋"/>
                <w:bCs/>
                <w:sz w:val="28"/>
                <w:szCs w:val="28"/>
              </w:rPr>
              <w:t>将积极采取改进措施，持续改进，不断规范和强化管理。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针对上述存在的问题及我</w:t>
            </w:r>
            <w:r>
              <w:rPr>
                <w:rFonts w:hint="eastAsia" w:ascii="仿宋" w:hAnsi="仿宋" w:eastAsia="仿宋" w:cs="仿宋"/>
                <w:bCs/>
                <w:sz w:val="28"/>
                <w:szCs w:val="28"/>
                <w:lang w:eastAsia="zh-CN"/>
              </w:rPr>
              <w:t>校</w:t>
            </w:r>
            <w:r>
              <w:rPr>
                <w:rFonts w:hint="eastAsia" w:ascii="仿宋" w:hAnsi="仿宋" w:eastAsia="仿宋" w:cs="仿宋"/>
                <w:bCs/>
                <w:sz w:val="28"/>
                <w:szCs w:val="28"/>
              </w:rPr>
              <w:t>整体支出管理工作的需要，拟实施的改进措施如下：</w:t>
            </w:r>
          </w:p>
          <w:p>
            <w:pPr>
              <w:spacing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、加强财务核算工作，提高财务的精细化管理，确保财务核算的真实、及时、准确、完整。。</w:t>
            </w:r>
          </w:p>
          <w:p>
            <w:pPr>
              <w:spacing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、及时开展和财政的年度结余资金的对账工作，加强和财政的沟通，尽早取得上年结余资金结转的指标批复，以便年初相关工作的开展。</w:t>
            </w:r>
          </w:p>
          <w:p>
            <w:pPr>
              <w:spacing w:line="380" w:lineRule="exact"/>
              <w:ind w:firstLine="560" w:firstLineChars="200"/>
              <w:rPr>
                <w:rFonts w:eastAsia="楷体_GB2312"/>
                <w:bCs/>
                <w:sz w:val="28"/>
                <w:szCs w:val="28"/>
              </w:rPr>
            </w:pPr>
          </w:p>
        </w:tc>
      </w:tr>
    </w:tbl>
    <w:p>
      <w:pPr>
        <w:spacing w:line="348" w:lineRule="auto"/>
        <w:rPr>
          <w:rFonts w:eastAsia="楷体_GB2312"/>
          <w:bCs/>
          <w:sz w:val="28"/>
          <w:szCs w:val="28"/>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关于做好岳阳市加快推进湖南发展新增长极建设</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11</w:t>
            </w:r>
            <w:r>
              <w:rPr>
                <w:rFonts w:hint="eastAsia" w:ascii="仿宋_GB2312" w:hAnsi="宋体" w:eastAsia="仿宋_GB2312" w:cs="宋体"/>
                <w:kern w:val="0"/>
                <w:sz w:val="18"/>
                <w:szCs w:val="18"/>
              </w:rPr>
              <w:t>号）和《中共岳阳市委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年度综合绩效考评工作的补充通知》（岳发〔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19</w:t>
            </w:r>
            <w:r>
              <w:rPr>
                <w:rFonts w:hint="eastAsia" w:ascii="仿宋_GB2312" w:hAnsi="宋体" w:eastAsia="仿宋_GB2312" w:cs="宋体"/>
                <w:kern w:val="0"/>
                <w:sz w:val="18"/>
                <w:szCs w:val="18"/>
              </w:rPr>
              <w:t>号）附件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第一大项“工作实绩指标”（</w:t>
            </w:r>
            <w:r>
              <w:rPr>
                <w:rFonts w:ascii="仿宋_GB2312" w:hAnsi="宋体" w:eastAsia="仿宋_GB2312" w:cs="宋体"/>
                <w:kern w:val="0"/>
                <w:sz w:val="18"/>
                <w:szCs w:val="18"/>
              </w:rPr>
              <w:t>700</w:t>
            </w:r>
            <w:r>
              <w:rPr>
                <w:rFonts w:hint="eastAsia" w:ascii="仿宋_GB2312" w:hAnsi="宋体" w:eastAsia="仿宋_GB2312" w:cs="宋体"/>
                <w:kern w:val="0"/>
                <w:sz w:val="18"/>
                <w:szCs w:val="18"/>
              </w:rPr>
              <w:t>分）考核内容设置。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pPr>
        <w:spacing w:beforeLines="50" w:line="560" w:lineRule="exact"/>
        <w:rPr>
          <w:rFonts w:ascii="黑体" w:hAnsi="黑体" w:eastAsia="黑体"/>
          <w:sz w:val="32"/>
          <w:szCs w:val="32"/>
        </w:rPr>
      </w:pPr>
    </w:p>
    <w:p>
      <w:pPr>
        <w:spacing w:beforeLines="50"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w:t>
            </w:r>
            <w:r>
              <w:rPr>
                <w:rFonts w:ascii="仿宋_GB2312" w:hAnsi="宋体" w:eastAsia="仿宋_GB2312" w:cs="宋体"/>
                <w:kern w:val="0"/>
                <w:sz w:val="18"/>
                <w:szCs w:val="18"/>
              </w:rPr>
              <w:t>/</w:t>
            </w:r>
            <w:r>
              <w:rPr>
                <w:rFonts w:hint="eastAsia" w:ascii="仿宋_GB2312" w:hAnsi="宋体" w:eastAsia="仿宋_GB2312" w:cs="宋体"/>
                <w:kern w:val="0"/>
                <w:sz w:val="18"/>
                <w:szCs w:val="18"/>
              </w:rPr>
              <w:t>计划到位</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w:t>
            </w:r>
            <w:r>
              <w:rPr>
                <w:rFonts w:ascii="仿宋_GB2312" w:hAnsi="宋体" w:eastAsia="仿宋_GB2312" w:cs="宋体"/>
                <w:spacing w:val="-10"/>
                <w:kern w:val="0"/>
                <w:sz w:val="18"/>
                <w:szCs w:val="18"/>
              </w:rPr>
              <w:t xml:space="preserve"> </w:t>
            </w:r>
            <w:r>
              <w:rPr>
                <w:rFonts w:hint="eastAsia" w:ascii="仿宋_GB2312" w:hAnsi="宋体" w:eastAsia="仿宋_GB2312" w:cs="宋体"/>
                <w:spacing w:val="-10"/>
                <w:kern w:val="0"/>
                <w:sz w:val="18"/>
                <w:szCs w:val="18"/>
              </w:rPr>
              <w:t>（</w:t>
            </w:r>
            <w:r>
              <w:rPr>
                <w:rFonts w:ascii="仿宋_GB2312" w:hAnsi="宋体" w:eastAsia="仿宋_GB2312" w:cs="宋体"/>
                <w:spacing w:val="-10"/>
                <w:kern w:val="0"/>
                <w:sz w:val="18"/>
                <w:szCs w:val="18"/>
              </w:rPr>
              <w:t>1</w:t>
            </w:r>
            <w:r>
              <w:rPr>
                <w:rFonts w:hint="eastAsia" w:ascii="仿宋_GB2312" w:hAnsi="宋体" w:eastAsia="仿宋_GB2312" w:cs="宋体"/>
                <w:spacing w:val="-10"/>
                <w:kern w:val="0"/>
                <w:sz w:val="18"/>
                <w:szCs w:val="18"/>
              </w:rPr>
              <w:t>分）</w:t>
            </w:r>
            <w:r>
              <w:rPr>
                <w:rFonts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w:t>
            </w:r>
            <w:r>
              <w:rPr>
                <w:rFonts w:ascii="仿宋_GB2312" w:hAnsi="宋体" w:eastAsia="仿宋_GB2312" w:cs="宋体"/>
                <w:spacing w:val="-6"/>
                <w:kern w:val="0"/>
                <w:sz w:val="18"/>
                <w:szCs w:val="18"/>
              </w:rPr>
              <w:t>0.5</w:t>
            </w:r>
            <w:r>
              <w:rPr>
                <w:rFonts w:hint="eastAsia" w:ascii="仿宋_GB2312" w:hAnsi="宋体" w:eastAsia="仿宋_GB2312" w:cs="宋体"/>
                <w:spacing w:val="-6"/>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①虚列套取扣</w:t>
            </w:r>
            <w:r>
              <w:rPr>
                <w:rFonts w:ascii="仿宋_GB2312" w:hAnsi="宋体" w:eastAsia="仿宋_GB2312" w:cs="宋体"/>
                <w:kern w:val="0"/>
                <w:sz w:val="18"/>
                <w:szCs w:val="18"/>
              </w:rPr>
              <w:t>4-7</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w:t>
            </w:r>
            <w:r>
              <w:rPr>
                <w:rFonts w:ascii="仿宋_GB2312" w:hAnsi="宋体" w:eastAsia="仿宋_GB2312" w:cs="宋体"/>
                <w:kern w:val="0"/>
                <w:sz w:val="18"/>
                <w:szCs w:val="18"/>
              </w:rPr>
              <w:t>3-6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r>
              <w:rPr>
                <w:rFonts w:ascii="仿宋_GB2312" w:hAnsi="宋体" w:eastAsia="仿宋_GB2312" w:cs="宋体"/>
                <w:kern w:val="0"/>
                <w:sz w:val="18"/>
                <w:szCs w:val="18"/>
              </w:rPr>
              <w:t xml:space="preserve">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2</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w:t>
            </w:r>
            <w:r>
              <w:rPr>
                <w:rFonts w:ascii="仿宋_GB2312" w:hAnsi="宋体" w:eastAsia="仿宋_GB2312" w:cs="宋体"/>
                <w:kern w:val="0"/>
                <w:sz w:val="18"/>
                <w:szCs w:val="18"/>
              </w:rPr>
              <w:t>=</w:t>
            </w:r>
            <w:r>
              <w:rPr>
                <w:rFonts w:hint="eastAsia" w:ascii="仿宋_GB2312" w:hAnsi="宋体" w:eastAsia="仿宋_GB2312" w:cs="宋体"/>
                <w:kern w:val="0"/>
                <w:sz w:val="18"/>
                <w:szCs w:val="18"/>
              </w:rPr>
              <w:t>目标完成数</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预定目标数×</w:t>
            </w:r>
            <w:r>
              <w:rPr>
                <w:rFonts w:ascii="仿宋_GB2312" w:hAnsi="宋体" w:eastAsia="仿宋_GB2312" w:cs="宋体"/>
                <w:kern w:val="0"/>
                <w:sz w:val="18"/>
                <w:szCs w:val="18"/>
              </w:rPr>
              <w:t>100%</w:t>
            </w:r>
          </w:p>
        </w:tc>
        <w:tc>
          <w:tcPr>
            <w:tcW w:w="2772" w:type="dxa"/>
            <w:tcBorders>
              <w:top w:val="single" w:color="auto" w:sz="4" w:space="0"/>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w:t>
            </w:r>
            <w:r>
              <w:rPr>
                <w:rFonts w:ascii="仿宋_GB2312" w:hAnsi="宋体" w:eastAsia="仿宋_GB2312" w:cs="宋体"/>
                <w:kern w:val="0"/>
                <w:sz w:val="18"/>
                <w:szCs w:val="18"/>
              </w:rPr>
              <w:t>=</w:t>
            </w:r>
            <w:r>
              <w:rPr>
                <w:rFonts w:hint="eastAsia" w:ascii="仿宋_GB2312" w:hAnsi="宋体" w:eastAsia="仿宋_GB2312" w:cs="宋体"/>
                <w:kern w:val="0"/>
                <w:sz w:val="18"/>
                <w:szCs w:val="18"/>
              </w:rPr>
              <w:t>实际达到的效果</w:t>
            </w:r>
            <w:r>
              <w:rPr>
                <w:rFonts w:ascii="仿宋_GB2312" w:hAnsi="宋体" w:eastAsia="仿宋_GB2312" w:cs="宋体"/>
                <w:kern w:val="0"/>
                <w:sz w:val="18"/>
                <w:szCs w:val="18"/>
              </w:rPr>
              <w:t>/</w:t>
            </w:r>
            <w:r>
              <w:rPr>
                <w:rFonts w:hint="eastAsia" w:ascii="仿宋_GB2312" w:hAnsi="宋体" w:eastAsia="仿宋_GB2312" w:cs="宋体"/>
                <w:kern w:val="0"/>
                <w:sz w:val="18"/>
                <w:szCs w:val="18"/>
              </w:rPr>
              <w:t>预定目标×</w:t>
            </w:r>
            <w:r>
              <w:rPr>
                <w:rFonts w:ascii="仿宋_GB2312" w:hAnsi="宋体" w:eastAsia="仿宋_GB2312" w:cs="宋体"/>
                <w:kern w:val="0"/>
                <w:sz w:val="18"/>
                <w:szCs w:val="18"/>
              </w:rPr>
              <w:t>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w:t>
            </w:r>
            <w:r>
              <w:rPr>
                <w:rFonts w:ascii="仿宋_GB2312" w:hAnsi="宋体" w:eastAsia="仿宋_GB2312" w:cs="宋体"/>
                <w:kern w:val="0"/>
                <w:sz w:val="18"/>
                <w:szCs w:val="18"/>
              </w:rPr>
              <w:t>100%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分，未完成</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分，未如期完成且无充分理由的扣</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w:t>
            </w:r>
            <w:r>
              <w:rPr>
                <w:rFonts w:ascii="仿宋_GB2312" w:hAnsi="宋体" w:eastAsia="仿宋_GB2312" w:cs="宋体"/>
                <w:kern w:val="0"/>
                <w:sz w:val="18"/>
                <w:szCs w:val="18"/>
              </w:rPr>
              <w:t>=</w:t>
            </w:r>
            <w:r>
              <w:rPr>
                <w:rFonts w:hint="eastAsia" w:ascii="仿宋_GB2312" w:hAnsi="宋体" w:eastAsia="仿宋_GB2312" w:cs="宋体"/>
                <w:kern w:val="0"/>
                <w:sz w:val="18"/>
                <w:szCs w:val="18"/>
              </w:rPr>
              <w:t>项目区被调查人数中表示满意的人数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被调查人数</w:t>
            </w:r>
            <w:r>
              <w:rPr>
                <w:rFonts w:ascii="仿宋_GB2312" w:hAnsi="宋体" w:eastAsia="仿宋_GB2312" w:cs="宋体"/>
                <w:kern w:val="0"/>
                <w:sz w:val="18"/>
                <w:szCs w:val="18"/>
              </w:rPr>
              <w:t>(</w:t>
            </w:r>
            <w:r>
              <w:rPr>
                <w:rFonts w:hint="eastAsia" w:ascii="仿宋_GB2312" w:hAnsi="宋体" w:eastAsia="仿宋_GB2312" w:cs="宋体"/>
                <w:kern w:val="0"/>
                <w:sz w:val="18"/>
                <w:szCs w:val="18"/>
              </w:rPr>
              <w:t>户数</w:t>
            </w:r>
            <w:r>
              <w:rPr>
                <w:rFonts w:ascii="仿宋_GB2312" w:hAnsi="宋体" w:eastAsia="仿宋_GB2312" w:cs="宋体"/>
                <w:kern w:val="0"/>
                <w:sz w:val="18"/>
                <w:szCs w:val="18"/>
              </w:rPr>
              <w:t>)</w:t>
            </w:r>
            <w:r>
              <w:rPr>
                <w:rFonts w:hint="eastAsia" w:ascii="仿宋_GB2312" w:hAnsi="宋体" w:eastAsia="仿宋_GB2312" w:cs="宋体"/>
                <w:kern w:val="0"/>
                <w:sz w:val="18"/>
                <w:szCs w:val="18"/>
              </w:rPr>
              <w:t>×</w:t>
            </w:r>
            <w:r>
              <w:rPr>
                <w:rFonts w:ascii="仿宋_GB2312" w:hAnsi="宋体" w:eastAsia="仿宋_GB2312" w:cs="宋体"/>
                <w:kern w:val="0"/>
                <w:sz w:val="18"/>
                <w:szCs w:val="18"/>
              </w:rPr>
              <w:t>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w:t>
            </w:r>
            <w:r>
              <w:rPr>
                <w:rFonts w:ascii="仿宋_GB2312" w:hAnsi="宋体" w:eastAsia="仿宋_GB2312" w:cs="宋体"/>
                <w:kern w:val="0"/>
                <w:sz w:val="18"/>
                <w:szCs w:val="18"/>
              </w:rPr>
              <w:t>90%</w:t>
            </w:r>
            <w:r>
              <w:rPr>
                <w:rFonts w:hint="eastAsia" w:ascii="仿宋_GB2312" w:hAnsi="宋体" w:eastAsia="仿宋_GB2312" w:cs="宋体"/>
                <w:kern w:val="0"/>
                <w:sz w:val="18"/>
                <w:szCs w:val="18"/>
              </w:rPr>
              <w:t>（含）以上的得</w:t>
            </w:r>
            <w:r>
              <w:rPr>
                <w:rFonts w:ascii="仿宋_GB2312" w:hAnsi="宋体" w:eastAsia="仿宋_GB2312" w:cs="宋体"/>
                <w:kern w:val="0"/>
                <w:sz w:val="18"/>
                <w:szCs w:val="18"/>
              </w:rPr>
              <w:t>8</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得</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cs="宋体"/>
                <w:kern w:val="0"/>
                <w:sz w:val="24"/>
              </w:rPr>
            </w:pPr>
            <w:r>
              <w:rPr>
                <w:rFonts w:ascii="仿宋_GB2312" w:hAnsi="宋体" w:eastAsia="仿宋_GB2312" w:cs="宋体"/>
                <w:kern w:val="0"/>
                <w:sz w:val="24"/>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24"/>
              </w:rPr>
            </w:pPr>
            <w:r>
              <w:rPr>
                <w:rFonts w:ascii="仿宋_GB2312" w:hAnsi="宋体" w:eastAsia="仿宋_GB2312" w:cs="宋体"/>
                <w:kern w:val="0"/>
                <w:sz w:val="24"/>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w:t>
    </w:r>
    <w:r>
      <w:rPr>
        <w:rStyle w:val="8"/>
        <w:sz w:val="24"/>
        <w:szCs w:val="24"/>
      </w:rPr>
      <w:fldChar w:fldCharType="end"/>
    </w:r>
    <w:r>
      <w:rPr>
        <w:rStyle w:val="8"/>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5"/>
      <w:lvlText w:val="%1."/>
      <w:lvlJc w:val="left"/>
      <w:pPr>
        <w:tabs>
          <w:tab w:val="left" w:pos="780"/>
        </w:tabs>
        <w:ind w:left="780" w:hanging="360"/>
      </w:pPr>
      <w:rPr>
        <w:rFonts w:cs="Times New Roman"/>
      </w:rPr>
    </w:lvl>
  </w:abstractNum>
  <w:abstractNum w:abstractNumId="1">
    <w:nsid w:val="7BA5092F"/>
    <w:multiLevelType w:val="singleLevel"/>
    <w:tmpl w:val="7BA5092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MxZDk3ZGEwYjEwNDgwMjczYTU1M2U3YzI3NDk4YWE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102A27AF"/>
    <w:rsid w:val="18466FA6"/>
    <w:rsid w:val="365354D8"/>
    <w:rsid w:val="40DF7012"/>
    <w:rsid w:val="45F159DD"/>
    <w:rsid w:val="5CA47D08"/>
    <w:rsid w:val="68187B63"/>
    <w:rsid w:val="69E93FCE"/>
    <w:rsid w:val="71644FCD"/>
    <w:rsid w:val="77A70677"/>
    <w:rsid w:val="7A6546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99"/>
    <w:pPr>
      <w:ind w:firstLine="588" w:firstLineChars="200"/>
    </w:pPr>
    <w:rPr>
      <w:rFonts w:ascii="仿宋_GB2312" w:hAnsi="Calibri" w:eastAsia="仿宋_GB2312"/>
      <w:sz w:val="32"/>
    </w:rPr>
  </w:style>
  <w:style w:type="paragraph" w:styleId="3">
    <w:name w:val="Balloon Text"/>
    <w:basedOn w:val="1"/>
    <w:link w:val="16"/>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er Char"/>
    <w:basedOn w:val="7"/>
    <w:link w:val="5"/>
    <w:semiHidden/>
    <w:qFormat/>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标题 3 Char Char"/>
    <w:qFormat/>
    <w:uiPriority w:val="99"/>
    <w:rPr>
      <w:rFonts w:eastAsia="楷体_GB2312"/>
      <w:b/>
      <w:kern w:val="2"/>
      <w:sz w:val="24"/>
      <w:lang w:val="en-US" w:eastAsia="zh-CN"/>
    </w:rPr>
  </w:style>
  <w:style w:type="paragraph" w:customStyle="1" w:styleId="12">
    <w:name w:val="Char"/>
    <w:basedOn w:val="1"/>
    <w:qFormat/>
    <w:uiPriority w:val="99"/>
    <w:pPr>
      <w:autoSpaceDE w:val="0"/>
      <w:autoSpaceDN w:val="0"/>
      <w:adjustRightInd w:val="0"/>
    </w:pPr>
    <w:rPr>
      <w:rFonts w:ascii="宋体" w:cs="宋体"/>
      <w:kern w:val="0"/>
      <w:sz w:val="20"/>
      <w:szCs w:val="20"/>
      <w:lang w:val="zh-CN"/>
    </w:rPr>
  </w:style>
  <w:style w:type="character" w:customStyle="1" w:styleId="13">
    <w:name w:val="Body Text Indent 2 Char"/>
    <w:basedOn w:val="7"/>
    <w:link w:val="2"/>
    <w:qFormat/>
    <w:locked/>
    <w:uiPriority w:val="99"/>
    <w:rPr>
      <w:rFonts w:ascii="仿宋_GB2312" w:hAnsi="Calibri" w:eastAsia="仿宋_GB2312" w:cs="Times New Roman"/>
      <w:sz w:val="24"/>
      <w:szCs w:val="24"/>
    </w:rPr>
  </w:style>
  <w:style w:type="paragraph" w:customStyle="1" w:styleId="14">
    <w:name w:val="Char1"/>
    <w:basedOn w:val="1"/>
    <w:qFormat/>
    <w:uiPriority w:val="99"/>
    <w:rPr>
      <w:rFonts w:ascii="仿宋_GB2312" w:eastAsia="仿宋_GB2312"/>
      <w:sz w:val="32"/>
    </w:rPr>
  </w:style>
  <w:style w:type="paragraph" w:customStyle="1" w:styleId="15">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16">
    <w:name w:val="Balloon Text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11</Pages>
  <Words>5619</Words>
  <Characters>6071</Characters>
  <Lines>0</Lines>
  <Paragraphs>0</Paragraphs>
  <TotalTime>28</TotalTime>
  <ScaleCrop>false</ScaleCrop>
  <LinksUpToDate>false</LinksUpToDate>
  <CharactersWithSpaces>6610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刘亿亿</cp:lastModifiedBy>
  <cp:lastPrinted>2022-06-14T07:35:06Z</cp:lastPrinted>
  <dcterms:modified xsi:type="dcterms:W3CDTF">2022-06-14T07:35:09Z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F2E01549BC5A4FF184BE62C3362F34C2</vt:lpwstr>
  </property>
</Properties>
</file>