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岳阳市供销合作联社2024年度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部门预算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 2024年部门预算说明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  2024年部门预算公开表格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22、部门整体支出绩效目标表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注：以上部门预算公开报表中，空表表示本部门无相关收支情况。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第一部分  2024年部门预算说明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（一）职能职责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（1）宣传、贯彻党和政府及上级供销社有关农村经济工作的方针、政策、法规和《社章》。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（2）负责综合分析供销社经济发展状况，研究制定全市供销社的发展战略和规划，指导全市供销社的发展与改革。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（3）按照政府授权和市场经济的要求，对重要农业生产资料和农副产品、烟花爆竹经营进行组织、协调、管理。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（4）指导各级供销社的业务活动，促进全市城乡物资交流，建立和完善农业社会化服务体系。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（5）围绕农业、农村、农民的需要，组织实施以农产品加工为主的社办工业体系建设。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（6）对市直供销社企业行使经营管理职能，并按照资产保值增值的要求，对社有资产进行监督管理。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（7）组织全市供销社干部、职工业务培训；检查、指导本系统的队伍建设。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（8）承办市委、市政府、省供销社交办的其他工作。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（二）机构设置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根据编委核定，本单位内设7个科室，二级机构 1 个，全部纳入2024年部门预算编制范围。内设科室分别是：办公室、人事科、财务科、合作指导科、经贸发展科、社有资产管理科、审计科；二级机构：岳阳市供销社新农村服务网络中心。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二、部门预算构成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本部门预算为汇总预算，纳入编制范围的预算单位包括：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岳阳市供销合作联社本级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2、岳阳市供销社新农村服务网络中心（财务未独立）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（一）收入预算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一般公共预算、政府性基金、国有资本经营预算等财政拨款收入，以及经营收入、事业收入等单位资金。2024年度年本单位收入预算729.28万元，其中，一般公共预算拨款729.28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2024年收入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今年较去年新增了在职人数，导致收入预算增加。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（二）支出预算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2024年本部门支出预算729.28万元，其中，208社会保障和就业支出55.36万元，210卫生健康支出8.31万元，216商业服务业等支出628.64万元，221住房保障支出36.96万元，支出较去年增加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今年较去年新增了在职人数，导致支出预算增加。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拨款支出预算729.28万元，其中，208社会保障和就业支出55.36万元，占7.59%；210卫生健康支出8.31万元，占1.14%；216商业服务业等支出628.64万元，占86.2%；221住房保障支出36.96万元，占5.07%；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基本支出：2024年基本支出年初预算数为727.88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项目支出：2024年项目支出年初预算数为1.40万元（数据来源见表20），是指单位为完成特定行政工作任务或事业发展目标而发生的支出，包括有关业务工作经费、运行维护经费、其他事业发展资金等。其中：非税收入征管经费专项支出1.40万元，主要用于</w:t>
      </w:r>
      <w:r>
        <w:rPr>
          <w:rFonts w:hint="eastAsia" w:eastAsia="仿宋_GB2312"/>
          <w:sz w:val="32"/>
          <w:szCs w:val="32"/>
          <w:lang w:val="en-US" w:eastAsia="zh-CN"/>
        </w:rPr>
        <w:t>为完成非税收入任务等发生的支出。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2024年度本部门无政府性基金安排的支出，所以公开的附件15-17（政府性基金预算）为空。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六、其他重要事项的情况说明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本部门2024年机关运行经费当年一般公共预算拨款110.18万元（数据来源见表12），比上一年增加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今年较去年新增了在职人员，人均公用经费预算有所增加。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（二）“三公”经费预算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本部门2024年“三公”经费预算数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万元（数据来源见表14），其中，公务接待费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万元，因公出国（境）费0.00万元，公务用车购置及运行费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万元（其中，公务用车购置费0.00万元，公务用车运行费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万元）。2024年三公经费预算较上年增加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落实“过紧日子”，厉行节约。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本部门2024年会议费预算3.00万元（数据来源见表13会议费、培训费），拟召开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第二届理事会第四次全体会议暨第二届监事会第四次全体会议、统计、财务、业务工作会议、半年度讲评会等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；培训费预算0.00万元，拟开展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次培训，人数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人；计划举办节庆、晚会、论坛、赛事活动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万元。2024年度本部门未计划安排培训，未计划举办节庆、晚会、论坛、赛事活动。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（四）政府采购情况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本部门2024年政府采购预算总额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万元，货物类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（五）国有资产占有使用及新增资产配置情况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截至上年底，本部门共有车辆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2024年拟报废处置车辆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辆，其中：报废处置领导干部用车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台，报废处置单位价值100万元以上通用设备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台。拟新增配置车辆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2024年拟新增配备领导干部用车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辆，新增配备单位价值50万元以上通用设备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台。2024年度本部门未计划新增车辆、设备等。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（六）预算绩效目标说明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本部门所有支出实行绩效目标管理。纳入2024年单位整体支出绩效目标的金额为729.28万元，其中，基本支出727.88万元，项目支出1.40万元，详见文尾附表中部门预算公开表格的表21-22。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第二部分  2024年部门预算公开表格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22、部门整体支出绩效目标表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注：以上部门预算公开报表中，空表表示本部门无相关收支情况。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94846"/>
    <w:multiLevelType w:val="singleLevel"/>
    <w:tmpl w:val="7CE948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162F4"/>
    <w:rsid w:val="4A00269B"/>
    <w:rsid w:val="5E1E7B73"/>
    <w:rsid w:val="67FA5C56"/>
    <w:rsid w:val="755A6EF4"/>
    <w:rsid w:val="788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2024-03-21T06:58:00Z</dcterms:created>
  <dc:creator>pc</dc:creator>
  <cp:lastModifiedBy>三叶草</cp:lastModifiedBy>
  <dcterms:modified xsi:type="dcterms:W3CDTF">2025-04-10T06:35:25Z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4F6A35D130E0451E8ADE430ED3F40910</vt:lpwstr>
  </property>
</Properties>
</file>