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jc w:val="center"/>
        <w:rPr>
          <w:rFonts w:hint="eastAsia" w:eastAsia="黑体"/>
          <w:sz w:val="56"/>
          <w:szCs w:val="56"/>
          <w:lang w:val="en-US" w:eastAsia="zh-CN"/>
        </w:rPr>
      </w:pPr>
      <w:r>
        <w:rPr>
          <w:rFonts w:hint="eastAsia"/>
          <w:sz w:val="56"/>
          <w:szCs w:val="56"/>
          <w:lang w:val="en-US" w:eastAsia="zh-CN"/>
        </w:rPr>
        <w:t xml:space="preserve"> </w:t>
      </w:r>
    </w:p>
    <w:p>
      <w:pPr>
        <w:pStyle w:val="19"/>
        <w:jc w:val="center"/>
        <w:rPr>
          <w:sz w:val="56"/>
          <w:szCs w:val="56"/>
        </w:rPr>
      </w:pPr>
    </w:p>
    <w:p>
      <w:pPr>
        <w:pStyle w:val="19"/>
        <w:jc w:val="center"/>
        <w:rPr>
          <w:sz w:val="84"/>
          <w:szCs w:val="84"/>
        </w:rPr>
      </w:pPr>
    </w:p>
    <w:p>
      <w:pPr>
        <w:pStyle w:val="19"/>
        <w:jc w:val="center"/>
        <w:rPr>
          <w:sz w:val="84"/>
          <w:szCs w:val="84"/>
        </w:rPr>
      </w:pPr>
    </w:p>
    <w:p>
      <w:pPr>
        <w:pStyle w:val="19"/>
        <w:jc w:val="center"/>
        <w:rPr>
          <w:rFonts w:hint="eastAsia"/>
          <w:sz w:val="72"/>
          <w:szCs w:val="72"/>
        </w:rPr>
      </w:pPr>
    </w:p>
    <w:p>
      <w:pPr>
        <w:pStyle w:val="19"/>
        <w:jc w:val="center"/>
        <w:rPr>
          <w:rFonts w:hint="eastAsia"/>
          <w:sz w:val="72"/>
          <w:szCs w:val="72"/>
        </w:rPr>
      </w:pPr>
    </w:p>
    <w:p>
      <w:pPr>
        <w:pStyle w:val="19"/>
        <w:jc w:val="center"/>
        <w:rPr>
          <w:sz w:val="72"/>
          <w:szCs w:val="72"/>
        </w:rPr>
      </w:pPr>
      <w:r>
        <w:rPr>
          <w:rFonts w:hint="eastAsia"/>
          <w:sz w:val="72"/>
          <w:szCs w:val="72"/>
        </w:rPr>
        <w:t>2020年度</w:t>
      </w:r>
    </w:p>
    <w:p>
      <w:pPr>
        <w:pStyle w:val="19"/>
        <w:jc w:val="center"/>
        <w:rPr>
          <w:sz w:val="72"/>
          <w:szCs w:val="72"/>
        </w:rPr>
      </w:pPr>
      <w:r>
        <w:rPr>
          <w:rFonts w:hint="eastAsia"/>
          <w:sz w:val="72"/>
          <w:szCs w:val="72"/>
          <w:lang w:val="en-US" w:eastAsia="zh-CN"/>
        </w:rPr>
        <w:t>岳阳市供销合作联社</w:t>
      </w:r>
      <w:r>
        <w:rPr>
          <w:rFonts w:hint="eastAsia"/>
          <w:sz w:val="72"/>
          <w:szCs w:val="72"/>
        </w:rPr>
        <w:t>部门决算</w:t>
      </w:r>
    </w:p>
    <w:p>
      <w:pPr>
        <w:pStyle w:val="19"/>
        <w:jc w:val="center"/>
        <w:rPr>
          <w:sz w:val="56"/>
          <w:szCs w:val="56"/>
        </w:rPr>
      </w:pPr>
    </w:p>
    <w:p>
      <w:pPr>
        <w:pStyle w:val="19"/>
        <w:jc w:val="center"/>
        <w:rPr>
          <w:sz w:val="56"/>
          <w:szCs w:val="56"/>
        </w:rPr>
      </w:pPr>
    </w:p>
    <w:p>
      <w:pPr>
        <w:pStyle w:val="19"/>
        <w:jc w:val="center"/>
        <w:rPr>
          <w:sz w:val="56"/>
          <w:szCs w:val="56"/>
        </w:rPr>
      </w:pPr>
    </w:p>
    <w:p>
      <w:pPr>
        <w:pStyle w:val="19"/>
        <w:jc w:val="center"/>
        <w:rPr>
          <w:sz w:val="32"/>
          <w:szCs w:val="32"/>
        </w:rPr>
      </w:pPr>
    </w:p>
    <w:p>
      <w:pPr>
        <w:pStyle w:val="19"/>
        <w:jc w:val="center"/>
        <w:rPr>
          <w:sz w:val="32"/>
          <w:szCs w:val="32"/>
        </w:rPr>
      </w:pPr>
    </w:p>
    <w:p>
      <w:pPr>
        <w:pStyle w:val="19"/>
        <w:jc w:val="center"/>
        <w:rPr>
          <w:sz w:val="32"/>
          <w:szCs w:val="32"/>
        </w:rPr>
      </w:pPr>
    </w:p>
    <w:p>
      <w:pPr>
        <w:pStyle w:val="19"/>
        <w:jc w:val="center"/>
        <w:rPr>
          <w:sz w:val="32"/>
          <w:szCs w:val="32"/>
        </w:rPr>
      </w:pPr>
    </w:p>
    <w:p>
      <w:pPr>
        <w:pStyle w:val="19"/>
        <w:jc w:val="center"/>
        <w:rPr>
          <w:sz w:val="32"/>
          <w:szCs w:val="32"/>
        </w:rPr>
      </w:pPr>
    </w:p>
    <w:p>
      <w:pPr>
        <w:pStyle w:val="19"/>
        <w:jc w:val="center"/>
        <w:rPr>
          <w:sz w:val="32"/>
          <w:szCs w:val="32"/>
        </w:rPr>
      </w:pPr>
    </w:p>
    <w:p>
      <w:pPr>
        <w:pStyle w:val="19"/>
        <w:jc w:val="center"/>
        <w:rPr>
          <w:sz w:val="32"/>
          <w:szCs w:val="32"/>
        </w:rPr>
      </w:pPr>
    </w:p>
    <w:p>
      <w:pPr>
        <w:pStyle w:val="19"/>
        <w:spacing w:line="540" w:lineRule="exact"/>
        <w:jc w:val="center"/>
        <w:rPr>
          <w:sz w:val="56"/>
          <w:szCs w:val="56"/>
        </w:rPr>
      </w:pPr>
    </w:p>
    <w:p>
      <w:pPr>
        <w:pStyle w:val="19"/>
        <w:spacing w:line="500" w:lineRule="exact"/>
        <w:jc w:val="center"/>
        <w:rPr>
          <w:b/>
          <w:sz w:val="36"/>
          <w:szCs w:val="28"/>
        </w:rPr>
      </w:pPr>
    </w:p>
    <w:p>
      <w:pPr>
        <w:pStyle w:val="19"/>
        <w:spacing w:line="500" w:lineRule="exact"/>
        <w:jc w:val="center"/>
        <w:rPr>
          <w:b/>
          <w:sz w:val="36"/>
          <w:szCs w:val="28"/>
        </w:rPr>
      </w:pPr>
    </w:p>
    <w:p>
      <w:pPr>
        <w:pStyle w:val="19"/>
        <w:spacing w:line="500" w:lineRule="exact"/>
        <w:jc w:val="center"/>
        <w:rPr>
          <w:b/>
          <w:sz w:val="36"/>
          <w:szCs w:val="28"/>
        </w:rPr>
      </w:pPr>
      <w:r>
        <w:rPr>
          <w:rFonts w:hint="eastAsia"/>
          <w:b/>
          <w:sz w:val="36"/>
          <w:szCs w:val="28"/>
        </w:rPr>
        <w:t>目录</w:t>
      </w:r>
    </w:p>
    <w:p>
      <w:pPr>
        <w:pStyle w:val="19"/>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岳阳市供销社</w:t>
      </w:r>
      <w:r>
        <w:rPr>
          <w:rFonts w:hint="eastAsia"/>
          <w:b/>
          <w:sz w:val="28"/>
          <w:szCs w:val="28"/>
        </w:rPr>
        <w:t>单位概况</w:t>
      </w:r>
    </w:p>
    <w:p>
      <w:pPr>
        <w:pStyle w:val="1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9"/>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20年度部门决算表</w:t>
      </w:r>
    </w:p>
    <w:p>
      <w:pPr>
        <w:pStyle w:val="1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9"/>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9"/>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20年度部门决算情况说明</w:t>
      </w:r>
    </w:p>
    <w:p>
      <w:pPr>
        <w:pStyle w:val="1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九、国有资本经营预算财政拨款支出决算情况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十、关于机关运行经费支出说明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十一、一般性支出情况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十二、关于政府采购支出说明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十三、关于国有资产占用情况说明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十四、关于2020年度预算绩效情况的说明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9"/>
        <w:jc w:val="center"/>
        <w:rPr>
          <w:rFonts w:hint="eastAsia"/>
          <w:sz w:val="84"/>
          <w:szCs w:val="84"/>
        </w:rPr>
      </w:pPr>
    </w:p>
    <w:p>
      <w:pPr>
        <w:pStyle w:val="19"/>
        <w:jc w:val="center"/>
        <w:rPr>
          <w:rFonts w:hint="eastAsia"/>
          <w:sz w:val="84"/>
          <w:szCs w:val="84"/>
        </w:rPr>
      </w:pPr>
    </w:p>
    <w:p>
      <w:pPr>
        <w:pStyle w:val="19"/>
        <w:jc w:val="center"/>
        <w:rPr>
          <w:rFonts w:hint="eastAsia"/>
          <w:sz w:val="84"/>
          <w:szCs w:val="84"/>
        </w:rPr>
      </w:pPr>
    </w:p>
    <w:p>
      <w:pPr>
        <w:pStyle w:val="19"/>
        <w:jc w:val="center"/>
        <w:rPr>
          <w:rFonts w:hint="eastAsia"/>
          <w:sz w:val="84"/>
          <w:szCs w:val="84"/>
        </w:rPr>
      </w:pPr>
    </w:p>
    <w:p>
      <w:pPr>
        <w:pStyle w:val="19"/>
        <w:jc w:val="center"/>
        <w:rPr>
          <w:rFonts w:hint="eastAsia"/>
          <w:sz w:val="84"/>
          <w:szCs w:val="84"/>
        </w:rPr>
      </w:pPr>
    </w:p>
    <w:p>
      <w:pPr>
        <w:pStyle w:val="19"/>
        <w:jc w:val="center"/>
        <w:rPr>
          <w:rFonts w:hint="eastAsia"/>
          <w:sz w:val="84"/>
          <w:szCs w:val="84"/>
        </w:rPr>
      </w:pPr>
    </w:p>
    <w:p>
      <w:pPr>
        <w:pStyle w:val="19"/>
        <w:jc w:val="center"/>
        <w:rPr>
          <w:rFonts w:hint="eastAsia"/>
          <w:sz w:val="84"/>
          <w:szCs w:val="84"/>
        </w:rPr>
      </w:pPr>
    </w:p>
    <w:p>
      <w:pPr>
        <w:pStyle w:val="19"/>
        <w:jc w:val="center"/>
        <w:rPr>
          <w:rFonts w:hint="eastAsia"/>
          <w:sz w:val="84"/>
          <w:szCs w:val="84"/>
        </w:rPr>
      </w:pPr>
    </w:p>
    <w:p>
      <w:pPr>
        <w:pStyle w:val="19"/>
        <w:jc w:val="center"/>
        <w:rPr>
          <w:rFonts w:hint="eastAsia"/>
          <w:sz w:val="84"/>
          <w:szCs w:val="84"/>
        </w:rPr>
      </w:pPr>
    </w:p>
    <w:p>
      <w:pPr>
        <w:pStyle w:val="19"/>
        <w:jc w:val="center"/>
        <w:rPr>
          <w:rFonts w:hint="eastAsia"/>
          <w:sz w:val="84"/>
          <w:szCs w:val="84"/>
        </w:rPr>
      </w:pPr>
    </w:p>
    <w:p>
      <w:pPr>
        <w:pStyle w:val="19"/>
        <w:jc w:val="center"/>
        <w:rPr>
          <w:rFonts w:hint="eastAsia"/>
          <w:sz w:val="84"/>
          <w:szCs w:val="84"/>
        </w:rPr>
      </w:pPr>
    </w:p>
    <w:p>
      <w:pPr>
        <w:pStyle w:val="19"/>
        <w:jc w:val="center"/>
        <w:rPr>
          <w:rFonts w:hint="eastAsia"/>
          <w:sz w:val="84"/>
          <w:szCs w:val="84"/>
        </w:rPr>
      </w:pPr>
    </w:p>
    <w:p>
      <w:pPr>
        <w:pStyle w:val="19"/>
        <w:jc w:val="center"/>
        <w:rPr>
          <w:sz w:val="84"/>
          <w:szCs w:val="84"/>
        </w:rPr>
      </w:pPr>
      <w:r>
        <w:rPr>
          <w:rFonts w:hint="eastAsia"/>
          <w:sz w:val="84"/>
          <w:szCs w:val="84"/>
        </w:rPr>
        <w:t>第一部分</w:t>
      </w:r>
      <w:r>
        <w:rPr>
          <w:sz w:val="84"/>
          <w:szCs w:val="84"/>
        </w:rPr>
        <w:t xml:space="preserve"> </w:t>
      </w:r>
    </w:p>
    <w:p>
      <w:pPr>
        <w:pStyle w:val="19"/>
        <w:jc w:val="center"/>
        <w:rPr>
          <w:sz w:val="84"/>
          <w:szCs w:val="84"/>
        </w:rPr>
      </w:pPr>
    </w:p>
    <w:p>
      <w:pPr>
        <w:pStyle w:val="19"/>
        <w:jc w:val="center"/>
        <w:rPr>
          <w:rFonts w:hint="eastAsia"/>
          <w:sz w:val="84"/>
          <w:szCs w:val="84"/>
        </w:rPr>
      </w:pPr>
      <w:r>
        <w:rPr>
          <w:rFonts w:hint="eastAsia"/>
          <w:sz w:val="84"/>
          <w:szCs w:val="84"/>
          <w:lang w:val="en-US" w:eastAsia="zh-CN"/>
        </w:rPr>
        <w:t>岳阳市供销合作联社</w:t>
      </w:r>
      <w:r>
        <w:rPr>
          <w:rFonts w:hint="eastAsia"/>
          <w:sz w:val="84"/>
          <w:szCs w:val="84"/>
        </w:rPr>
        <w:t>概况</w:t>
      </w:r>
    </w:p>
    <w:p>
      <w:pPr>
        <w:pStyle w:val="19"/>
        <w:jc w:val="center"/>
        <w:rPr>
          <w:rFonts w:hint="eastAsia"/>
          <w:sz w:val="84"/>
          <w:szCs w:val="84"/>
        </w:rPr>
      </w:pPr>
    </w:p>
    <w:p>
      <w:pPr>
        <w:pStyle w:val="19"/>
        <w:jc w:val="center"/>
        <w:rPr>
          <w:rFonts w:hint="eastAsia"/>
          <w:sz w:val="84"/>
          <w:szCs w:val="84"/>
        </w:rPr>
      </w:pPr>
    </w:p>
    <w:p>
      <w:pPr>
        <w:pStyle w:val="19"/>
        <w:jc w:val="center"/>
        <w:rPr>
          <w:rFonts w:hint="eastAsia"/>
          <w:sz w:val="84"/>
          <w:szCs w:val="84"/>
        </w:rPr>
      </w:pPr>
    </w:p>
    <w:p>
      <w:pPr>
        <w:pStyle w:val="19"/>
        <w:jc w:val="center"/>
        <w:rPr>
          <w:rFonts w:hint="eastAsia"/>
          <w:sz w:val="84"/>
          <w:szCs w:val="84"/>
        </w:rPr>
      </w:pPr>
    </w:p>
    <w:p>
      <w:pPr>
        <w:pStyle w:val="20"/>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widowControl/>
        <w:spacing w:line="600" w:lineRule="exact"/>
        <w:rPr>
          <w:rFonts w:hint="eastAsia" w:asciiTheme="minorEastAsia" w:hAnsiTheme="minorEastAsia"/>
          <w:bCs/>
          <w:kern w:val="0"/>
          <w:sz w:val="32"/>
          <w:szCs w:val="32"/>
        </w:rPr>
      </w:pPr>
      <w:r>
        <w:rPr>
          <w:rFonts w:hint="eastAsia" w:asciiTheme="minorEastAsia" w:hAnsiTheme="minorEastAsia"/>
          <w:bCs/>
          <w:kern w:val="0"/>
          <w:sz w:val="32"/>
          <w:szCs w:val="32"/>
        </w:rPr>
        <w:t>1.宣传、贯彻党和政府及上级供销社有关农村经济工作的方针、政策、法规和《社章》。</w:t>
      </w:r>
    </w:p>
    <w:p>
      <w:pPr>
        <w:widowControl/>
        <w:spacing w:line="600" w:lineRule="exact"/>
        <w:rPr>
          <w:rFonts w:hint="eastAsia" w:asciiTheme="minorEastAsia" w:hAnsiTheme="minorEastAsia"/>
          <w:bCs/>
          <w:kern w:val="0"/>
          <w:sz w:val="32"/>
          <w:szCs w:val="32"/>
        </w:rPr>
      </w:pPr>
      <w:r>
        <w:rPr>
          <w:rFonts w:hint="eastAsia" w:asciiTheme="minorEastAsia" w:hAnsiTheme="minorEastAsia"/>
          <w:bCs/>
          <w:kern w:val="0"/>
          <w:sz w:val="32"/>
          <w:szCs w:val="32"/>
        </w:rPr>
        <w:t>2.负责综合分析供销社经济发展状况，研究制定全市供销社的发展战略和规划，指导全市供销社的发展与改革。</w:t>
      </w:r>
    </w:p>
    <w:p>
      <w:pPr>
        <w:widowControl/>
        <w:spacing w:line="600" w:lineRule="exact"/>
        <w:rPr>
          <w:rFonts w:hint="eastAsia" w:asciiTheme="minorEastAsia" w:hAnsiTheme="minorEastAsia"/>
          <w:bCs/>
          <w:kern w:val="0"/>
          <w:sz w:val="32"/>
          <w:szCs w:val="32"/>
        </w:rPr>
      </w:pPr>
      <w:r>
        <w:rPr>
          <w:rFonts w:hint="eastAsia" w:asciiTheme="minorEastAsia" w:hAnsiTheme="minorEastAsia"/>
          <w:bCs/>
          <w:kern w:val="0"/>
          <w:sz w:val="32"/>
          <w:szCs w:val="32"/>
        </w:rPr>
        <w:t>3.按照政府授权和市场经济的要求，对重要农业生产资料和农副产品、烟花炮竹经营进行组织、协调、管理。</w:t>
      </w:r>
    </w:p>
    <w:p>
      <w:pPr>
        <w:widowControl/>
        <w:spacing w:line="600" w:lineRule="exact"/>
        <w:rPr>
          <w:rFonts w:hint="eastAsia" w:asciiTheme="minorEastAsia" w:hAnsiTheme="minorEastAsia"/>
          <w:bCs/>
          <w:kern w:val="0"/>
          <w:sz w:val="32"/>
          <w:szCs w:val="32"/>
        </w:rPr>
      </w:pPr>
      <w:r>
        <w:rPr>
          <w:rFonts w:hint="eastAsia" w:asciiTheme="minorEastAsia" w:hAnsiTheme="minorEastAsia"/>
          <w:bCs/>
          <w:kern w:val="0"/>
          <w:sz w:val="32"/>
          <w:szCs w:val="32"/>
        </w:rPr>
        <w:t>4.指导各级供销社的业务活动，促进全市城乡物资交流，建立和完善农业社会化服务体系</w:t>
      </w:r>
    </w:p>
    <w:p>
      <w:pPr>
        <w:widowControl/>
        <w:spacing w:line="600" w:lineRule="exact"/>
        <w:rPr>
          <w:rFonts w:hint="eastAsia" w:asciiTheme="minorEastAsia" w:hAnsiTheme="minorEastAsia"/>
          <w:bCs/>
          <w:kern w:val="0"/>
          <w:sz w:val="32"/>
          <w:szCs w:val="32"/>
        </w:rPr>
      </w:pPr>
      <w:r>
        <w:rPr>
          <w:rFonts w:hint="eastAsia" w:asciiTheme="minorEastAsia" w:hAnsiTheme="minorEastAsia"/>
          <w:bCs/>
          <w:kern w:val="0"/>
          <w:sz w:val="32"/>
          <w:szCs w:val="32"/>
        </w:rPr>
        <w:t>5.围绕农业、农村、农民的需要，组织实施以农产品加工为主的社办工业体系建设。</w:t>
      </w:r>
    </w:p>
    <w:p>
      <w:pPr>
        <w:widowControl/>
        <w:spacing w:line="600" w:lineRule="exact"/>
        <w:rPr>
          <w:rFonts w:hint="eastAsia" w:asciiTheme="minorEastAsia" w:hAnsiTheme="minorEastAsia"/>
          <w:bCs/>
          <w:kern w:val="0"/>
          <w:sz w:val="32"/>
          <w:szCs w:val="32"/>
        </w:rPr>
      </w:pPr>
      <w:r>
        <w:rPr>
          <w:rFonts w:hint="eastAsia" w:asciiTheme="minorEastAsia" w:hAnsiTheme="minorEastAsia"/>
          <w:bCs/>
          <w:kern w:val="0"/>
          <w:sz w:val="32"/>
          <w:szCs w:val="32"/>
        </w:rPr>
        <w:t>6.对市直供销社企业行使经营管理职能，并按照资产保值增值的要求，对社有资产进行监督管理。</w:t>
      </w:r>
    </w:p>
    <w:p>
      <w:pPr>
        <w:widowControl/>
        <w:spacing w:line="600" w:lineRule="exact"/>
        <w:rPr>
          <w:rFonts w:hint="eastAsia" w:asciiTheme="minorEastAsia" w:hAnsiTheme="minorEastAsia"/>
          <w:bCs/>
          <w:kern w:val="0"/>
          <w:sz w:val="32"/>
          <w:szCs w:val="32"/>
        </w:rPr>
      </w:pPr>
      <w:r>
        <w:rPr>
          <w:rFonts w:hint="eastAsia" w:asciiTheme="minorEastAsia" w:hAnsiTheme="minorEastAsia"/>
          <w:bCs/>
          <w:kern w:val="0"/>
          <w:sz w:val="32"/>
          <w:szCs w:val="32"/>
        </w:rPr>
        <w:t>7.组织全市供销社干部、职工业务培训；检查、指导本系统的队伍建设。</w:t>
      </w:r>
    </w:p>
    <w:p>
      <w:pPr>
        <w:widowControl/>
        <w:spacing w:line="600" w:lineRule="exact"/>
        <w:rPr>
          <w:rFonts w:ascii="仿宋_GB2312" w:eastAsia="仿宋_GB2312" w:hAnsiTheme="minorEastAsia"/>
          <w:sz w:val="28"/>
          <w:szCs w:val="32"/>
        </w:rPr>
      </w:pPr>
      <w:r>
        <w:rPr>
          <w:rFonts w:hint="eastAsia" w:asciiTheme="minorEastAsia" w:hAnsiTheme="minorEastAsia"/>
          <w:bCs/>
          <w:kern w:val="0"/>
          <w:sz w:val="32"/>
          <w:szCs w:val="32"/>
        </w:rPr>
        <w:t>8.承办市委、市政府、省供销社交办的其他工作。</w:t>
      </w:r>
    </w:p>
    <w:p>
      <w:pPr>
        <w:widowControl/>
        <w:spacing w:line="600" w:lineRule="exact"/>
        <w:rPr>
          <w:rFonts w:ascii="仿宋_GB2312" w:eastAsia="仿宋_GB2312" w:hAnsiTheme="minorEastAsia"/>
          <w:sz w:val="28"/>
          <w:szCs w:val="32"/>
        </w:rPr>
      </w:pPr>
      <w:r>
        <w:rPr>
          <w:rFonts w:hint="eastAsia" w:ascii="黑体" w:hAnsi="黑体" w:eastAsia="黑体"/>
          <w:bCs/>
          <w:kern w:val="0"/>
          <w:sz w:val="32"/>
          <w:szCs w:val="32"/>
        </w:rPr>
        <w:t>二、机构设置及决算单位构成</w:t>
      </w:r>
    </w:p>
    <w:p>
      <w:pPr>
        <w:widowControl/>
        <w:spacing w:line="600" w:lineRule="exact"/>
        <w:rPr>
          <w:rFonts w:hint="eastAsia" w:asciiTheme="minorEastAsia" w:hAnsiTheme="minorEastAsia"/>
          <w:bCs/>
          <w:kern w:val="0"/>
          <w:sz w:val="32"/>
          <w:szCs w:val="32"/>
        </w:rPr>
      </w:pPr>
      <w:r>
        <w:rPr>
          <w:rFonts w:hint="eastAsia" w:asciiTheme="minorEastAsia" w:hAnsiTheme="minorEastAsia"/>
          <w:bCs/>
          <w:kern w:val="0"/>
          <w:sz w:val="32"/>
          <w:szCs w:val="32"/>
        </w:rPr>
        <w:t>（一）内设机构设置。岳阳市供销社内设机构包括：办公室、财计科、人事科、合作指导科、宣教科、审计科、退管科、安监科、机关党委、机关纪委、机关工会。</w:t>
      </w:r>
      <w:bookmarkStart w:id="1" w:name="_GoBack"/>
      <w:bookmarkEnd w:id="1"/>
    </w:p>
    <w:p>
      <w:pPr>
        <w:widowControl/>
        <w:spacing w:line="600" w:lineRule="exact"/>
        <w:rPr>
          <w:rFonts w:hint="eastAsia" w:asciiTheme="minorEastAsia" w:hAnsiTheme="minorEastAsia"/>
          <w:bCs/>
          <w:kern w:val="0"/>
          <w:sz w:val="32"/>
          <w:szCs w:val="32"/>
        </w:rPr>
      </w:pPr>
      <w:r>
        <w:rPr>
          <w:rFonts w:hint="eastAsia" w:asciiTheme="minorEastAsia" w:hAnsiTheme="minorEastAsia"/>
          <w:bCs/>
          <w:kern w:val="0"/>
          <w:sz w:val="32"/>
          <w:szCs w:val="32"/>
        </w:rPr>
        <w:t>（二）决算单位构成。岳阳市供销社</w:t>
      </w:r>
      <w:r>
        <w:rPr>
          <w:rFonts w:hint="eastAsia" w:asciiTheme="minorEastAsia" w:hAnsiTheme="minorEastAsia"/>
          <w:bCs/>
          <w:kern w:val="0"/>
          <w:sz w:val="32"/>
          <w:szCs w:val="32"/>
          <w:lang w:val="en-US" w:eastAsia="zh-CN"/>
        </w:rPr>
        <w:t>2020</w:t>
      </w:r>
      <w:r>
        <w:rPr>
          <w:rFonts w:hint="eastAsia" w:asciiTheme="minorEastAsia" w:hAnsiTheme="minorEastAsia"/>
          <w:bCs/>
          <w:kern w:val="0"/>
          <w:sz w:val="32"/>
          <w:szCs w:val="32"/>
        </w:rPr>
        <w:t>年部门决算汇总公开单位构成包括：岳阳市供销社本级以及二级机构岳阳市供销社新农村服务网络中心。</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both"/>
        <w:rPr>
          <w:rFonts w:hint="eastAsia" w:eastAsiaTheme="minorEastAsia"/>
          <w:sz w:val="72"/>
          <w:szCs w:val="72"/>
          <w:lang w:eastAsia="zh-CN"/>
        </w:rPr>
      </w:pPr>
    </w:p>
    <w:p>
      <w:pPr>
        <w:jc w:val="center"/>
        <w:rPr>
          <w:sz w:val="72"/>
          <w:szCs w:val="72"/>
        </w:rPr>
      </w:pPr>
    </w:p>
    <w:p>
      <w:pPr>
        <w:jc w:val="center"/>
        <w:rPr>
          <w:rFonts w:hint="eastAsia" w:ascii="黑体" w:hAnsi="黑体" w:eastAsia="黑体" w:cs="黑体"/>
          <w:sz w:val="72"/>
          <w:szCs w:val="72"/>
        </w:rPr>
      </w:pPr>
    </w:p>
    <w:p>
      <w:pPr>
        <w:jc w:val="center"/>
        <w:rPr>
          <w:rFonts w:hint="eastAsia" w:ascii="黑体" w:hAnsi="黑体" w:eastAsia="黑体" w:cs="黑体"/>
          <w:sz w:val="72"/>
          <w:szCs w:val="72"/>
        </w:rPr>
      </w:pPr>
    </w:p>
    <w:p>
      <w:pPr>
        <w:jc w:val="center"/>
        <w:rPr>
          <w:rFonts w:hint="eastAsia" w:ascii="黑体" w:hAnsi="黑体" w:eastAsia="黑体" w:cs="黑体"/>
          <w:sz w:val="72"/>
          <w:szCs w:val="72"/>
        </w:rPr>
      </w:pPr>
    </w:p>
    <w:p>
      <w:pPr>
        <w:jc w:val="center"/>
        <w:rPr>
          <w:rFonts w:hint="eastAsia" w:ascii="黑体" w:hAnsi="黑体" w:eastAsia="黑体" w:cs="黑体"/>
          <w:sz w:val="72"/>
          <w:szCs w:val="72"/>
        </w:rPr>
      </w:pPr>
    </w:p>
    <w:p>
      <w:pPr>
        <w:jc w:val="center"/>
        <w:rPr>
          <w:rFonts w:hint="eastAsia" w:ascii="黑体" w:hAnsi="黑体" w:eastAsia="黑体" w:cs="黑体"/>
          <w:sz w:val="72"/>
          <w:szCs w:val="72"/>
        </w:rPr>
      </w:pPr>
      <w:r>
        <w:rPr>
          <w:rFonts w:hint="eastAsia" w:ascii="黑体" w:hAnsi="黑体" w:eastAsia="黑体" w:cs="黑体"/>
          <w:sz w:val="72"/>
          <w:szCs w:val="72"/>
        </w:rPr>
        <w:t>第二部分</w:t>
      </w:r>
    </w:p>
    <w:p>
      <w:pPr>
        <w:jc w:val="center"/>
        <w:rPr>
          <w:rFonts w:hint="eastAsia" w:ascii="黑体" w:hAnsi="黑体" w:eastAsia="黑体" w:cs="黑体"/>
          <w:sz w:val="72"/>
          <w:szCs w:val="72"/>
        </w:rPr>
      </w:pPr>
    </w:p>
    <w:p>
      <w:pPr>
        <w:jc w:val="center"/>
        <w:rPr>
          <w:rFonts w:hint="eastAsia" w:ascii="黑体" w:hAnsi="黑体" w:eastAsia="黑体" w:cs="黑体"/>
          <w:sz w:val="72"/>
          <w:szCs w:val="72"/>
        </w:rPr>
      </w:pPr>
      <w:r>
        <w:rPr>
          <w:rFonts w:hint="eastAsia" w:ascii="黑体" w:hAnsi="黑体" w:eastAsia="黑体" w:cs="黑体"/>
          <w:sz w:val="72"/>
          <w:szCs w:val="72"/>
          <w:lang w:val="en-US" w:eastAsia="zh-CN"/>
        </w:rPr>
        <w:t>2020年度</w:t>
      </w:r>
      <w:r>
        <w:rPr>
          <w:rFonts w:hint="eastAsia" w:ascii="黑体" w:hAnsi="黑体" w:eastAsia="黑体" w:cs="黑体"/>
          <w:sz w:val="72"/>
          <w:szCs w:val="72"/>
        </w:rPr>
        <w:t>部门决算表</w:t>
      </w:r>
    </w:p>
    <w:p>
      <w:pPr>
        <w:pStyle w:val="2"/>
        <w:rPr>
          <w:rFonts w:hint="eastAsia" w:ascii="宋体" w:hAnsi="宋体" w:eastAsia="宋体" w:cs="宋体"/>
          <w:sz w:val="52"/>
          <w:szCs w:val="52"/>
        </w:rPr>
        <w:sectPr>
          <w:pgSz w:w="11906" w:h="16838"/>
          <w:pgMar w:top="720" w:right="720" w:bottom="720" w:left="720" w:header="851" w:footer="992" w:gutter="0"/>
          <w:cols w:space="425" w:num="1"/>
          <w:docGrid w:type="linesAndChars" w:linePitch="312" w:charSpace="0"/>
        </w:sectPr>
      </w:pPr>
      <w:r>
        <w:rPr>
          <w:rFonts w:hint="eastAsia" w:ascii="黑体" w:hAnsi="黑体" w:eastAsia="黑体" w:cs="黑体"/>
          <w:sz w:val="84"/>
          <w:szCs w:val="84"/>
          <w:lang w:val="en-US" w:eastAsia="zh-CN"/>
        </w:rPr>
        <w:t xml:space="preserve">         </w:t>
      </w:r>
      <w:r>
        <w:rPr>
          <w:rFonts w:hint="eastAsia" w:ascii="宋体" w:hAnsi="宋体" w:eastAsia="宋体" w:cs="宋体"/>
          <w:sz w:val="52"/>
          <w:szCs w:val="52"/>
          <w:lang w:val="en-US" w:eastAsia="zh-CN"/>
        </w:rPr>
        <w:t>（见附表）</w:t>
      </w:r>
      <w:bookmarkStart w:id="0" w:name="RANGE!A1:I22"/>
      <w:bookmarkEnd w:id="0"/>
    </w:p>
    <w:p>
      <w:pPr>
        <w:pStyle w:val="19"/>
        <w:jc w:val="both"/>
        <w:rPr>
          <w:sz w:val="72"/>
          <w:szCs w:val="72"/>
        </w:rPr>
      </w:pPr>
    </w:p>
    <w:p>
      <w:pPr>
        <w:pStyle w:val="19"/>
        <w:jc w:val="both"/>
        <w:rPr>
          <w:sz w:val="72"/>
          <w:szCs w:val="72"/>
        </w:rPr>
      </w:pPr>
    </w:p>
    <w:p>
      <w:pPr>
        <w:pStyle w:val="19"/>
        <w:jc w:val="center"/>
        <w:rPr>
          <w:rFonts w:hint="eastAsia"/>
          <w:sz w:val="72"/>
          <w:szCs w:val="72"/>
        </w:rPr>
      </w:pPr>
    </w:p>
    <w:p>
      <w:pPr>
        <w:pStyle w:val="19"/>
        <w:jc w:val="center"/>
        <w:rPr>
          <w:rFonts w:hint="eastAsia"/>
          <w:sz w:val="72"/>
          <w:szCs w:val="72"/>
        </w:rPr>
      </w:pPr>
    </w:p>
    <w:p>
      <w:pPr>
        <w:pStyle w:val="19"/>
        <w:ind w:firstLine="2868" w:firstLineChars="400"/>
        <w:jc w:val="both"/>
        <w:rPr>
          <w:sz w:val="72"/>
          <w:szCs w:val="72"/>
        </w:rPr>
      </w:pPr>
      <w:r>
        <w:rPr>
          <w:rFonts w:hint="eastAsia"/>
          <w:sz w:val="72"/>
          <w:szCs w:val="72"/>
        </w:rPr>
        <w:t>第三部分</w:t>
      </w:r>
    </w:p>
    <w:p>
      <w:pPr>
        <w:pStyle w:val="19"/>
        <w:jc w:val="center"/>
        <w:rPr>
          <w:sz w:val="70"/>
          <w:szCs w:val="70"/>
        </w:rPr>
      </w:pPr>
    </w:p>
    <w:p>
      <w:pPr>
        <w:pStyle w:val="19"/>
        <w:jc w:val="center"/>
        <w:rPr>
          <w:sz w:val="70"/>
          <w:szCs w:val="70"/>
        </w:rPr>
      </w:pPr>
      <w:r>
        <w:rPr>
          <w:sz w:val="70"/>
          <w:szCs w:val="70"/>
        </w:rPr>
        <w:t>20</w:t>
      </w:r>
      <w:r>
        <w:rPr>
          <w:rFonts w:hint="eastAsia"/>
          <w:sz w:val="70"/>
          <w:szCs w:val="70"/>
        </w:rPr>
        <w:t>20年度部门决算情况说明</w:t>
      </w:r>
    </w:p>
    <w:p>
      <w:pPr>
        <w:widowControl/>
        <w:jc w:val="left"/>
        <w:rPr>
          <w:rFonts w:ascii="黑体" w:eastAsia="黑体" w:cs="黑体"/>
          <w:color w:val="000000"/>
          <w:kern w:val="0"/>
          <w:sz w:val="70"/>
          <w:szCs w:val="70"/>
        </w:rPr>
      </w:pPr>
      <w:r>
        <w:rPr>
          <w:sz w:val="70"/>
          <w:szCs w:val="70"/>
        </w:rPr>
        <w:br w:type="page"/>
      </w:r>
    </w:p>
    <w:p>
      <w:pPr>
        <w:pStyle w:val="19"/>
        <w:rPr>
          <w:rFonts w:hAnsi="黑体"/>
          <w:b/>
          <w:sz w:val="32"/>
          <w:szCs w:val="32"/>
        </w:rPr>
      </w:pPr>
      <w:r>
        <w:rPr>
          <w:rFonts w:hint="eastAsia" w:hAnsi="黑体"/>
          <w:b/>
          <w:sz w:val="32"/>
          <w:szCs w:val="32"/>
        </w:rPr>
        <w:t>一、收入支出决算总体情况说明</w:t>
      </w:r>
    </w:p>
    <w:p>
      <w:pPr>
        <w:pStyle w:val="19"/>
        <w:ind w:firstLine="634"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2020年度收、支总计</w:t>
      </w:r>
      <w:r>
        <w:rPr>
          <w:rFonts w:hint="eastAsia" w:asciiTheme="minorEastAsia" w:hAnsiTheme="minorEastAsia" w:eastAsiaTheme="minorEastAsia"/>
          <w:sz w:val="32"/>
          <w:szCs w:val="32"/>
          <w:lang w:val="en-US" w:eastAsia="zh-CN"/>
        </w:rPr>
        <w:t>834.44</w:t>
      </w:r>
      <w:r>
        <w:rPr>
          <w:rFonts w:hint="eastAsia" w:asciiTheme="minorEastAsia" w:hAnsiTheme="minorEastAsia" w:eastAsiaTheme="minorEastAsia"/>
          <w:sz w:val="32"/>
          <w:szCs w:val="32"/>
        </w:rPr>
        <w:t>万元。与上年相比，减少</w:t>
      </w:r>
      <w:r>
        <w:rPr>
          <w:rFonts w:hint="eastAsia" w:asciiTheme="minorEastAsia" w:hAnsiTheme="minorEastAsia" w:eastAsiaTheme="minorEastAsia"/>
          <w:sz w:val="32"/>
          <w:szCs w:val="32"/>
          <w:lang w:val="en-US" w:eastAsia="zh-CN"/>
        </w:rPr>
        <w:t>108.16</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11.47</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综合改革项目经费减少。</w:t>
      </w:r>
    </w:p>
    <w:p>
      <w:pPr>
        <w:pStyle w:val="19"/>
        <w:rPr>
          <w:rFonts w:hAnsi="黑体"/>
          <w:b/>
          <w:sz w:val="32"/>
          <w:szCs w:val="32"/>
        </w:rPr>
      </w:pPr>
      <w:r>
        <w:rPr>
          <w:rFonts w:hint="eastAsia" w:hAnsi="黑体"/>
          <w:b/>
          <w:sz w:val="32"/>
          <w:szCs w:val="32"/>
        </w:rPr>
        <w:t>二、收入决算情况说明</w:t>
      </w:r>
    </w:p>
    <w:p>
      <w:pPr>
        <w:pStyle w:val="19"/>
        <w:ind w:firstLine="634"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本年收入合计</w:t>
      </w:r>
      <w:r>
        <w:rPr>
          <w:rFonts w:hint="eastAsia" w:asciiTheme="minorEastAsia" w:hAnsiTheme="minorEastAsia" w:eastAsiaTheme="minorEastAsia"/>
          <w:sz w:val="32"/>
          <w:szCs w:val="32"/>
          <w:lang w:val="en-US" w:eastAsia="zh-CN"/>
        </w:rPr>
        <w:t>803.77</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803.72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99.99</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0.05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0.01</w:t>
      </w:r>
      <w:r>
        <w:rPr>
          <w:rFonts w:hint="eastAsia" w:asciiTheme="minorEastAsia" w:hAnsiTheme="minorEastAsia" w:eastAsiaTheme="minorEastAsia"/>
          <w:sz w:val="32"/>
          <w:szCs w:val="32"/>
        </w:rPr>
        <w:t>%。</w:t>
      </w:r>
    </w:p>
    <w:p>
      <w:pPr>
        <w:pStyle w:val="19"/>
        <w:rPr>
          <w:rFonts w:hAnsi="黑体"/>
          <w:b/>
          <w:sz w:val="32"/>
          <w:szCs w:val="32"/>
        </w:rPr>
      </w:pPr>
      <w:r>
        <w:rPr>
          <w:rFonts w:hint="eastAsia" w:hAnsi="黑体"/>
          <w:b/>
          <w:sz w:val="32"/>
          <w:szCs w:val="32"/>
        </w:rPr>
        <w:t>三、支出决算情况说明</w:t>
      </w:r>
    </w:p>
    <w:p>
      <w:pPr>
        <w:pStyle w:val="19"/>
        <w:ind w:firstLine="634"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w:t>
      </w:r>
      <w:r>
        <w:rPr>
          <w:rFonts w:hint="eastAsia" w:asciiTheme="minorEastAsia" w:hAnsiTheme="minorEastAsia" w:eastAsiaTheme="minorEastAsia"/>
          <w:sz w:val="32"/>
          <w:szCs w:val="32"/>
          <w:lang w:val="en-US" w:eastAsia="zh-CN"/>
        </w:rPr>
        <w:t>789.59</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608.93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77.12</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180.67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22.88</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9"/>
        <w:rPr>
          <w:rFonts w:hAnsi="黑体"/>
          <w:b/>
          <w:sz w:val="32"/>
          <w:szCs w:val="32"/>
        </w:rPr>
      </w:pPr>
      <w:r>
        <w:rPr>
          <w:rFonts w:hint="eastAsia" w:hAnsi="黑体"/>
          <w:b/>
          <w:sz w:val="32"/>
          <w:szCs w:val="32"/>
        </w:rPr>
        <w:t>四、财政拨款收入支出决算总体情况说明</w:t>
      </w:r>
    </w:p>
    <w:p>
      <w:pPr>
        <w:pStyle w:val="19"/>
        <w:ind w:firstLine="647"/>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2020年度财政拨款收、支总计</w:t>
      </w:r>
      <w:r>
        <w:rPr>
          <w:rFonts w:hint="eastAsia" w:asciiTheme="minorEastAsia" w:hAnsiTheme="minorEastAsia" w:eastAsiaTheme="minorEastAsia"/>
          <w:sz w:val="32"/>
          <w:szCs w:val="32"/>
          <w:lang w:val="en-US" w:eastAsia="zh-CN"/>
        </w:rPr>
        <w:t>834.39</w:t>
      </w:r>
      <w:r>
        <w:rPr>
          <w:rFonts w:hint="eastAsia" w:asciiTheme="minorEastAsia" w:hAnsiTheme="minorEastAsia" w:eastAsiaTheme="minorEastAsia"/>
          <w:sz w:val="32"/>
          <w:szCs w:val="32"/>
        </w:rPr>
        <w:t>万元，与上年相比，减少</w:t>
      </w:r>
      <w:r>
        <w:rPr>
          <w:rFonts w:hint="eastAsia" w:asciiTheme="minorEastAsia" w:hAnsiTheme="minorEastAsia" w:eastAsiaTheme="minorEastAsia"/>
          <w:sz w:val="32"/>
          <w:szCs w:val="32"/>
          <w:lang w:val="en-US" w:eastAsia="zh-CN"/>
        </w:rPr>
        <w:t>108.21</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11.48</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综合改革项目经费减少。</w:t>
      </w:r>
    </w:p>
    <w:p>
      <w:pPr>
        <w:pStyle w:val="19"/>
        <w:ind w:firstLine="647"/>
        <w:rPr>
          <w:rFonts w:hAnsi="黑体"/>
          <w:b/>
          <w:sz w:val="32"/>
          <w:szCs w:val="32"/>
        </w:rPr>
      </w:pPr>
      <w:r>
        <w:rPr>
          <w:rFonts w:hint="eastAsia" w:hAnsi="黑体"/>
          <w:b/>
          <w:sz w:val="32"/>
          <w:szCs w:val="32"/>
        </w:rPr>
        <w:t>五、一般公共预算财政拨款支出决算情况说明</w:t>
      </w:r>
    </w:p>
    <w:p>
      <w:pPr>
        <w:pStyle w:val="19"/>
        <w:ind w:firstLine="634"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9"/>
        <w:ind w:firstLine="793"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w:t>
      </w:r>
      <w:r>
        <w:rPr>
          <w:rFonts w:hint="eastAsia" w:asciiTheme="minorEastAsia" w:hAnsiTheme="minorEastAsia" w:eastAsiaTheme="minorEastAsia"/>
          <w:sz w:val="32"/>
          <w:szCs w:val="32"/>
          <w:lang w:val="en-US" w:eastAsia="zh-CN"/>
        </w:rPr>
        <w:t>789.54</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99.99</w:t>
      </w:r>
      <w:r>
        <w:rPr>
          <w:rFonts w:hint="eastAsia" w:asciiTheme="minorEastAsia" w:hAnsiTheme="minorEastAsia" w:eastAsiaTheme="minorEastAsia"/>
          <w:sz w:val="32"/>
          <w:szCs w:val="32"/>
        </w:rPr>
        <w:t>%，与上年相比，财政拨款支出减少</w:t>
      </w:r>
      <w:r>
        <w:rPr>
          <w:rFonts w:hint="eastAsia" w:asciiTheme="minorEastAsia" w:hAnsiTheme="minorEastAsia" w:eastAsiaTheme="minorEastAsia"/>
          <w:sz w:val="32"/>
          <w:szCs w:val="32"/>
          <w:lang w:val="en-US" w:eastAsia="zh-CN"/>
        </w:rPr>
        <w:t>116.99</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14.82</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综合改革项目经费减少。</w:t>
      </w:r>
    </w:p>
    <w:p>
      <w:pPr>
        <w:pStyle w:val="19"/>
        <w:ind w:firstLine="476"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9"/>
        <w:ind w:firstLine="634"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w:t>
      </w:r>
      <w:r>
        <w:rPr>
          <w:rFonts w:hint="eastAsia" w:asciiTheme="minorEastAsia" w:hAnsiTheme="minorEastAsia" w:eastAsiaTheme="minorEastAsia"/>
          <w:sz w:val="32"/>
          <w:szCs w:val="32"/>
          <w:lang w:val="en-US" w:eastAsia="zh-CN"/>
        </w:rPr>
        <w:t>789.54</w:t>
      </w:r>
      <w:r>
        <w:rPr>
          <w:rFonts w:hint="eastAsia" w:asciiTheme="minorEastAsia" w:hAnsiTheme="minorEastAsia" w:eastAsiaTheme="minorEastAsia"/>
          <w:sz w:val="32"/>
          <w:szCs w:val="32"/>
        </w:rPr>
        <w:t>万元，主要用于以下方面：</w:t>
      </w:r>
      <w:r>
        <w:rPr>
          <w:rFonts w:hint="eastAsia" w:asciiTheme="minorEastAsia" w:hAnsiTheme="minorEastAsia" w:eastAsiaTheme="minorEastAsia"/>
          <w:sz w:val="32"/>
          <w:szCs w:val="32"/>
          <w:lang w:val="en-US" w:eastAsia="zh-CN"/>
        </w:rPr>
        <w:t>社会保障和就业支出98.01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12.41</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卫生健康</w:t>
      </w:r>
      <w:r>
        <w:rPr>
          <w:rFonts w:hint="eastAsia" w:asciiTheme="minorEastAsia" w:hAnsiTheme="minorEastAsia" w:eastAsiaTheme="minorEastAsia"/>
          <w:sz w:val="32"/>
          <w:szCs w:val="32"/>
        </w:rPr>
        <w:t>支出</w:t>
      </w:r>
      <w:r>
        <w:rPr>
          <w:rFonts w:hint="eastAsia" w:asciiTheme="minorEastAsia" w:hAnsiTheme="minorEastAsia" w:eastAsiaTheme="minorEastAsia"/>
          <w:sz w:val="32"/>
          <w:szCs w:val="32"/>
          <w:lang w:val="en-US" w:eastAsia="zh-CN"/>
        </w:rPr>
        <w:t>16.24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2.06</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农林水支出0.29万元，占0.04%；资源勘探工业信息等支出10.23万元，占1.3%；商业服务业等支出634.1万元，占80.31%；其他支出30.67，占3.88%。</w:t>
      </w:r>
    </w:p>
    <w:p>
      <w:pPr>
        <w:pStyle w:val="19"/>
        <w:ind w:firstLine="793"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9"/>
        <w:keepNext w:val="0"/>
        <w:keepLines w:val="0"/>
        <w:pageBreakBefore w:val="0"/>
        <w:widowControl w:val="0"/>
        <w:kinsoku/>
        <w:wordWrap/>
        <w:overflowPunct/>
        <w:topLinePunct w:val="0"/>
        <w:autoSpaceDE w:val="0"/>
        <w:autoSpaceDN w:val="0"/>
        <w:bidi w:val="0"/>
        <w:adjustRightInd w:val="0"/>
        <w:snapToGrid/>
        <w:ind w:leftChars="0" w:firstLine="476" w:firstLineChars="150"/>
        <w:textAlignment w:val="auto"/>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2020年度财政拨款支出年初预算数为</w:t>
      </w:r>
      <w:r>
        <w:rPr>
          <w:rFonts w:hint="eastAsia" w:asciiTheme="minorEastAsia" w:hAnsiTheme="minorEastAsia" w:eastAsiaTheme="minorEastAsia"/>
          <w:sz w:val="32"/>
          <w:szCs w:val="32"/>
          <w:lang w:val="en-US" w:eastAsia="zh-CN"/>
        </w:rPr>
        <w:t>383.3</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789.54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205.98</w:t>
      </w:r>
      <w:r>
        <w:rPr>
          <w:rFonts w:hint="eastAsia" w:asciiTheme="minorEastAsia" w:hAnsiTheme="minorEastAsia" w:eastAsiaTheme="minorEastAsia"/>
          <w:sz w:val="32"/>
          <w:szCs w:val="32"/>
        </w:rPr>
        <w:t>%，其中：</w:t>
      </w:r>
    </w:p>
    <w:p>
      <w:pPr>
        <w:pStyle w:val="19"/>
        <w:keepNext w:val="0"/>
        <w:keepLines w:val="0"/>
        <w:pageBreakBefore w:val="0"/>
        <w:widowControl w:val="0"/>
        <w:kinsoku/>
        <w:wordWrap/>
        <w:overflowPunct/>
        <w:topLinePunct w:val="0"/>
        <w:autoSpaceDE w:val="0"/>
        <w:autoSpaceDN w:val="0"/>
        <w:bidi w:val="0"/>
        <w:adjustRightInd w:val="0"/>
        <w:snapToGrid/>
        <w:ind w:leftChars="0" w:firstLine="634" w:firstLineChars="200"/>
        <w:textAlignment w:val="auto"/>
        <w:rPr>
          <w:rFonts w:asciiTheme="minorEastAsia" w:hAnsiTheme="minorEastAsia" w:eastAsiaTheme="minorEastAsia"/>
          <w:sz w:val="32"/>
          <w:szCs w:val="32"/>
        </w:rPr>
      </w:pPr>
      <w:r>
        <w:rPr>
          <w:rFonts w:hint="eastAsia" w:asciiTheme="minorEastAsia" w:hAnsiTheme="minorEastAsia" w:eastAsiaTheme="minorEastAsia"/>
          <w:sz w:val="32"/>
          <w:szCs w:val="32"/>
        </w:rPr>
        <w:t>1、</w:t>
      </w:r>
      <w:r>
        <w:rPr>
          <w:rFonts w:hint="eastAsia" w:asciiTheme="minorEastAsia" w:hAnsiTheme="minorEastAsia" w:eastAsiaTheme="minorEastAsia"/>
          <w:sz w:val="32"/>
          <w:szCs w:val="32"/>
          <w:lang w:val="en-US" w:eastAsia="zh-CN"/>
        </w:rPr>
        <w:t>社会保障和就业支出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行政事业单位养老支出</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机关事业单位养老保险缴费支出</w:t>
      </w:r>
      <w:r>
        <w:rPr>
          <w:rFonts w:hint="eastAsia" w:asciiTheme="minorEastAsia" w:hAnsiTheme="minorEastAsia" w:eastAsiaTheme="minorEastAsia"/>
          <w:sz w:val="32"/>
          <w:szCs w:val="32"/>
        </w:rPr>
        <w:t>（项）。</w:t>
      </w:r>
    </w:p>
    <w:p>
      <w:pPr>
        <w:pStyle w:val="19"/>
        <w:keepNext w:val="0"/>
        <w:keepLines w:val="0"/>
        <w:pageBreakBefore w:val="0"/>
        <w:widowControl w:val="0"/>
        <w:kinsoku/>
        <w:wordWrap/>
        <w:overflowPunct/>
        <w:topLinePunct w:val="0"/>
        <w:autoSpaceDE w:val="0"/>
        <w:autoSpaceDN w:val="0"/>
        <w:bidi w:val="0"/>
        <w:adjustRightInd w:val="0"/>
        <w:snapToGrid/>
        <w:ind w:leftChars="0" w:firstLine="634" w:firstLineChars="200"/>
        <w:textAlignment w:val="auto"/>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35.08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35.08</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val="en-US" w:eastAsia="zh-CN"/>
        </w:rPr>
        <w:t>一致。</w:t>
      </w:r>
    </w:p>
    <w:p>
      <w:pPr>
        <w:pStyle w:val="19"/>
        <w:keepNext w:val="0"/>
        <w:keepLines w:val="0"/>
        <w:pageBreakBefore w:val="0"/>
        <w:widowControl w:val="0"/>
        <w:numPr>
          <w:ilvl w:val="0"/>
          <w:numId w:val="2"/>
        </w:numPr>
        <w:kinsoku/>
        <w:wordWrap/>
        <w:overflowPunct/>
        <w:topLinePunct w:val="0"/>
        <w:autoSpaceDE w:val="0"/>
        <w:autoSpaceDN w:val="0"/>
        <w:bidi w:val="0"/>
        <w:adjustRightInd w:val="0"/>
        <w:snapToGrid/>
        <w:ind w:leftChars="0" w:firstLine="634" w:firstLineChars="200"/>
        <w:textAlignment w:val="auto"/>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社会保障和就业支出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行政事业单位养老支出</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其他行政事业单位养老支出</w:t>
      </w:r>
      <w:r>
        <w:rPr>
          <w:rFonts w:hint="eastAsia" w:asciiTheme="minorEastAsia" w:hAnsiTheme="minorEastAsia" w:eastAsiaTheme="minorEastAsia"/>
          <w:sz w:val="32"/>
          <w:szCs w:val="32"/>
        </w:rPr>
        <w:t>（项）。</w:t>
      </w:r>
    </w:p>
    <w:p>
      <w:pPr>
        <w:pStyle w:val="19"/>
        <w:keepNext w:val="0"/>
        <w:keepLines w:val="0"/>
        <w:pageBreakBefore w:val="0"/>
        <w:widowControl w:val="0"/>
        <w:kinsoku/>
        <w:wordWrap/>
        <w:overflowPunct/>
        <w:topLinePunct w:val="0"/>
        <w:autoSpaceDE w:val="0"/>
        <w:autoSpaceDN w:val="0"/>
        <w:bidi w:val="0"/>
        <w:adjustRightInd w:val="0"/>
        <w:snapToGrid/>
        <w:ind w:leftChars="0" w:firstLine="634" w:firstLineChars="200"/>
        <w:textAlignment w:val="auto"/>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23.02</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决算数大于年初预算数的主要原因是财政拨付的市直未纳入公务员管理的离休干部生活补贴、年终奖金等。</w:t>
      </w:r>
    </w:p>
    <w:p>
      <w:pPr>
        <w:pStyle w:val="19"/>
        <w:keepNext w:val="0"/>
        <w:keepLines w:val="0"/>
        <w:pageBreakBefore w:val="0"/>
        <w:widowControl w:val="0"/>
        <w:kinsoku/>
        <w:wordWrap/>
        <w:overflowPunct/>
        <w:topLinePunct w:val="0"/>
        <w:autoSpaceDE w:val="0"/>
        <w:autoSpaceDN w:val="0"/>
        <w:bidi w:val="0"/>
        <w:adjustRightInd w:val="0"/>
        <w:snapToGrid/>
        <w:ind w:leftChars="0" w:firstLine="634" w:firstLineChars="200"/>
        <w:textAlignment w:val="auto"/>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3、社会保障和就业支出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抚恤</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其他优抚支出</w:t>
      </w:r>
      <w:r>
        <w:rPr>
          <w:rFonts w:hint="eastAsia" w:asciiTheme="minorEastAsia" w:hAnsiTheme="minorEastAsia" w:eastAsiaTheme="minorEastAsia"/>
          <w:sz w:val="32"/>
          <w:szCs w:val="32"/>
        </w:rPr>
        <w:t>（项）。</w:t>
      </w:r>
    </w:p>
    <w:p>
      <w:pPr>
        <w:pStyle w:val="19"/>
        <w:keepNext w:val="0"/>
        <w:keepLines w:val="0"/>
        <w:pageBreakBefore w:val="0"/>
        <w:widowControl w:val="0"/>
        <w:kinsoku/>
        <w:wordWrap/>
        <w:overflowPunct/>
        <w:topLinePunct w:val="0"/>
        <w:autoSpaceDE w:val="0"/>
        <w:autoSpaceDN w:val="0"/>
        <w:bidi w:val="0"/>
        <w:adjustRightInd w:val="0"/>
        <w:snapToGrid/>
        <w:ind w:leftChars="0" w:firstLine="634" w:firstLineChars="200"/>
        <w:textAlignment w:val="auto"/>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39.91</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决算数大于年初预算数的主要原因是财政拨付的一次性抚恤金以及机关、破产企业遗属生活费等支出。</w:t>
      </w:r>
    </w:p>
    <w:p>
      <w:pPr>
        <w:pStyle w:val="19"/>
        <w:keepNext w:val="0"/>
        <w:keepLines w:val="0"/>
        <w:pageBreakBefore w:val="0"/>
        <w:widowControl w:val="0"/>
        <w:kinsoku/>
        <w:wordWrap/>
        <w:overflowPunct/>
        <w:topLinePunct w:val="0"/>
        <w:autoSpaceDE w:val="0"/>
        <w:autoSpaceDN w:val="0"/>
        <w:bidi w:val="0"/>
        <w:adjustRightInd w:val="0"/>
        <w:snapToGrid/>
        <w:ind w:leftChars="0" w:firstLine="634" w:firstLineChars="200"/>
        <w:textAlignment w:val="auto"/>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4、卫生健康支出（类）行政事业单位医疗（款）行政单位医疗（项）。</w:t>
      </w:r>
    </w:p>
    <w:p>
      <w:pPr>
        <w:pStyle w:val="19"/>
        <w:keepNext w:val="0"/>
        <w:keepLines w:val="0"/>
        <w:pageBreakBefore w:val="0"/>
        <w:widowControl w:val="0"/>
        <w:kinsoku/>
        <w:wordWrap/>
        <w:overflowPunct/>
        <w:topLinePunct w:val="0"/>
        <w:autoSpaceDE w:val="0"/>
        <w:autoSpaceDN w:val="0"/>
        <w:bidi w:val="0"/>
        <w:adjustRightInd w:val="0"/>
        <w:snapToGrid/>
        <w:ind w:leftChars="0" w:firstLine="634" w:firstLineChars="200"/>
        <w:textAlignment w:val="auto"/>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16.24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16.24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val="en-US" w:eastAsia="zh-CN"/>
        </w:rPr>
        <w:t>一致。</w:t>
      </w:r>
    </w:p>
    <w:p>
      <w:pPr>
        <w:pStyle w:val="19"/>
        <w:keepNext w:val="0"/>
        <w:keepLines w:val="0"/>
        <w:pageBreakBefore w:val="0"/>
        <w:widowControl w:val="0"/>
        <w:kinsoku/>
        <w:wordWrap/>
        <w:overflowPunct/>
        <w:topLinePunct w:val="0"/>
        <w:autoSpaceDE w:val="0"/>
        <w:autoSpaceDN w:val="0"/>
        <w:bidi w:val="0"/>
        <w:adjustRightInd w:val="0"/>
        <w:snapToGrid/>
        <w:ind w:leftChars="0" w:firstLine="634" w:firstLineChars="200"/>
        <w:textAlignment w:val="auto"/>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5、农林水支出（类）农业农村（款）其他农业农村支出（项）。</w:t>
      </w:r>
    </w:p>
    <w:p>
      <w:pPr>
        <w:pStyle w:val="19"/>
        <w:keepNext w:val="0"/>
        <w:keepLines w:val="0"/>
        <w:pageBreakBefore w:val="0"/>
        <w:widowControl w:val="0"/>
        <w:kinsoku/>
        <w:wordWrap/>
        <w:overflowPunct/>
        <w:topLinePunct w:val="0"/>
        <w:autoSpaceDE w:val="0"/>
        <w:autoSpaceDN w:val="0"/>
        <w:bidi w:val="0"/>
        <w:adjustRightInd w:val="0"/>
        <w:snapToGrid/>
        <w:ind w:leftChars="0" w:firstLine="634" w:firstLineChars="200"/>
        <w:textAlignment w:val="auto"/>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年初预算为0万元，支出决算为0.29万元，决算数大于年初预算数的主要原因是财政拨付综合改革相关经费。</w:t>
      </w:r>
    </w:p>
    <w:p>
      <w:pPr>
        <w:pStyle w:val="19"/>
        <w:keepNext w:val="0"/>
        <w:keepLines w:val="0"/>
        <w:pageBreakBefore w:val="0"/>
        <w:widowControl w:val="0"/>
        <w:kinsoku/>
        <w:wordWrap/>
        <w:overflowPunct/>
        <w:topLinePunct w:val="0"/>
        <w:autoSpaceDE w:val="0"/>
        <w:autoSpaceDN w:val="0"/>
        <w:bidi w:val="0"/>
        <w:adjustRightInd w:val="0"/>
        <w:snapToGrid/>
        <w:ind w:leftChars="0" w:firstLine="634" w:firstLineChars="200"/>
        <w:textAlignment w:val="auto"/>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6、资源勘探工业信息等支出（类）国有资产监管（款）其他国有资产监管支出（项）。</w:t>
      </w:r>
    </w:p>
    <w:p>
      <w:pPr>
        <w:pStyle w:val="19"/>
        <w:keepNext w:val="0"/>
        <w:keepLines w:val="0"/>
        <w:pageBreakBefore w:val="0"/>
        <w:widowControl w:val="0"/>
        <w:kinsoku/>
        <w:wordWrap/>
        <w:overflowPunct/>
        <w:topLinePunct w:val="0"/>
        <w:autoSpaceDE w:val="0"/>
        <w:autoSpaceDN w:val="0"/>
        <w:bidi w:val="0"/>
        <w:adjustRightInd w:val="0"/>
        <w:snapToGrid/>
        <w:ind w:firstLine="634" w:firstLineChars="200"/>
        <w:textAlignment w:val="auto"/>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年初预算0万元，支出决算为10.23万元，决算数大于年初预算数的主要原因是财政拨付了用于支付原破产企业装饰公司职工的养老金和医保支出。</w:t>
      </w:r>
    </w:p>
    <w:p>
      <w:pPr>
        <w:pStyle w:val="19"/>
        <w:keepNext w:val="0"/>
        <w:keepLines w:val="0"/>
        <w:pageBreakBefore w:val="0"/>
        <w:widowControl w:val="0"/>
        <w:kinsoku/>
        <w:wordWrap/>
        <w:overflowPunct/>
        <w:topLinePunct w:val="0"/>
        <w:autoSpaceDE w:val="0"/>
        <w:autoSpaceDN w:val="0"/>
        <w:bidi w:val="0"/>
        <w:adjustRightInd w:val="0"/>
        <w:snapToGrid/>
        <w:ind w:leftChars="0" w:firstLine="634" w:firstLineChars="200"/>
        <w:textAlignment w:val="auto"/>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7、商业服务业等支出（类）商业流通事务（款）行政运行（项）。</w:t>
      </w:r>
    </w:p>
    <w:p>
      <w:pPr>
        <w:pStyle w:val="19"/>
        <w:keepNext w:val="0"/>
        <w:keepLines w:val="0"/>
        <w:pageBreakBefore w:val="0"/>
        <w:widowControl w:val="0"/>
        <w:kinsoku/>
        <w:wordWrap/>
        <w:overflowPunct/>
        <w:topLinePunct w:val="0"/>
        <w:autoSpaceDE w:val="0"/>
        <w:autoSpaceDN w:val="0"/>
        <w:bidi w:val="0"/>
        <w:adjustRightInd w:val="0"/>
        <w:snapToGrid/>
        <w:ind w:firstLine="634" w:firstLineChars="200"/>
        <w:textAlignment w:val="auto"/>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年初预算295.74万元，支出决算为294.18万元，完成年初预算的99.47%，决算数小于年初预算数的主要原因是党中央带头过“紧日子”，压缩单位公用经费，减少一切不必要的行政开支。</w:t>
      </w:r>
    </w:p>
    <w:p>
      <w:pPr>
        <w:pStyle w:val="19"/>
        <w:keepNext w:val="0"/>
        <w:keepLines w:val="0"/>
        <w:pageBreakBefore w:val="0"/>
        <w:widowControl w:val="0"/>
        <w:kinsoku/>
        <w:wordWrap/>
        <w:overflowPunct/>
        <w:topLinePunct w:val="0"/>
        <w:autoSpaceDE w:val="0"/>
        <w:autoSpaceDN w:val="0"/>
        <w:bidi w:val="0"/>
        <w:adjustRightInd w:val="0"/>
        <w:snapToGrid/>
        <w:ind w:firstLine="634" w:firstLineChars="200"/>
        <w:textAlignment w:val="auto"/>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8、商业服务业等支出（类）商业流通事务（款）其他商业流通事务支出（项）。</w:t>
      </w:r>
    </w:p>
    <w:p>
      <w:pPr>
        <w:pStyle w:val="19"/>
        <w:keepNext w:val="0"/>
        <w:keepLines w:val="0"/>
        <w:pageBreakBefore w:val="0"/>
        <w:widowControl w:val="0"/>
        <w:kinsoku/>
        <w:wordWrap/>
        <w:overflowPunct/>
        <w:topLinePunct w:val="0"/>
        <w:autoSpaceDE w:val="0"/>
        <w:autoSpaceDN w:val="0"/>
        <w:bidi w:val="0"/>
        <w:adjustRightInd w:val="0"/>
        <w:snapToGrid/>
        <w:ind w:firstLine="634" w:firstLineChars="200"/>
        <w:textAlignment w:val="auto"/>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年初预算1.16万元，支出决算339.92万元，决算数大于年初预算数的主要原因是财政拨付了2019-2020年大化肥淡季储备补贴资金、2019年度在职、退休人员综合绩效考评奖励、平安建设工作考核奖励等支出。</w:t>
      </w:r>
    </w:p>
    <w:p>
      <w:pPr>
        <w:pStyle w:val="19"/>
        <w:keepNext w:val="0"/>
        <w:keepLines w:val="0"/>
        <w:pageBreakBefore w:val="0"/>
        <w:widowControl w:val="0"/>
        <w:numPr>
          <w:ilvl w:val="0"/>
          <w:numId w:val="0"/>
        </w:numPr>
        <w:kinsoku/>
        <w:wordWrap/>
        <w:overflowPunct/>
        <w:topLinePunct w:val="0"/>
        <w:autoSpaceDE w:val="0"/>
        <w:autoSpaceDN w:val="0"/>
        <w:bidi w:val="0"/>
        <w:adjustRightInd w:val="0"/>
        <w:snapToGrid/>
        <w:ind w:firstLine="634" w:firstLineChars="200"/>
        <w:textAlignment w:val="auto"/>
        <w:rPr>
          <w:rFonts w:hint="eastAsia" w:asciiTheme="minorEastAsia" w:hAnsiTheme="minorEastAsia" w:eastAsiaTheme="minorEastAsia"/>
          <w:color w:val="auto"/>
          <w:sz w:val="32"/>
          <w:szCs w:val="32"/>
          <w:lang w:val="en-US" w:eastAsia="zh-CN"/>
        </w:rPr>
      </w:pPr>
      <w:r>
        <w:rPr>
          <w:rFonts w:hint="eastAsia" w:asciiTheme="minorEastAsia" w:hAnsiTheme="minorEastAsia" w:eastAsiaTheme="minorEastAsia"/>
          <w:sz w:val="32"/>
          <w:szCs w:val="32"/>
          <w:lang w:val="en-US" w:eastAsia="zh-CN"/>
        </w:rPr>
        <w:t>9、其他支出（类）其他支出（款）其他支出（项）。</w:t>
      </w:r>
    </w:p>
    <w:p>
      <w:pPr>
        <w:pStyle w:val="19"/>
        <w:keepNext w:val="0"/>
        <w:keepLines w:val="0"/>
        <w:pageBreakBefore w:val="0"/>
        <w:widowControl w:val="0"/>
        <w:numPr>
          <w:ilvl w:val="0"/>
          <w:numId w:val="0"/>
        </w:numPr>
        <w:kinsoku/>
        <w:wordWrap/>
        <w:overflowPunct/>
        <w:topLinePunct w:val="0"/>
        <w:autoSpaceDE w:val="0"/>
        <w:autoSpaceDN w:val="0"/>
        <w:bidi w:val="0"/>
        <w:adjustRightInd w:val="0"/>
        <w:snapToGrid/>
        <w:ind w:firstLine="634" w:firstLineChars="200"/>
        <w:textAlignment w:val="auto"/>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年初预算0万元，支出预算为30.67万元，决算数大于年初预算数的主要原因是上年结转的综合改革工作经费等支出。</w:t>
      </w:r>
    </w:p>
    <w:p>
      <w:pPr>
        <w:pStyle w:val="19"/>
        <w:rPr>
          <w:rFonts w:hint="eastAsia" w:hAnsi="黑体"/>
          <w:b/>
          <w:sz w:val="32"/>
          <w:szCs w:val="32"/>
        </w:rPr>
      </w:pPr>
    </w:p>
    <w:p>
      <w:pPr>
        <w:pStyle w:val="19"/>
        <w:rPr>
          <w:rFonts w:hAnsi="黑体"/>
          <w:b/>
          <w:sz w:val="32"/>
          <w:szCs w:val="32"/>
        </w:rPr>
      </w:pPr>
      <w:r>
        <w:rPr>
          <w:rFonts w:hint="eastAsia" w:hAnsi="黑体"/>
          <w:b/>
          <w:sz w:val="32"/>
          <w:szCs w:val="32"/>
        </w:rPr>
        <w:t>六、一般公共预算财政拨款基本支出决算情况说明</w:t>
      </w:r>
    </w:p>
    <w:p>
      <w:pPr>
        <w:pStyle w:val="19"/>
        <w:ind w:firstLine="634"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2020年度财政拨款基本支出</w:t>
      </w:r>
      <w:r>
        <w:rPr>
          <w:rFonts w:hint="eastAsia" w:asciiTheme="minorEastAsia" w:hAnsiTheme="minorEastAsia" w:eastAsiaTheme="minorEastAsia"/>
          <w:sz w:val="32"/>
          <w:szCs w:val="32"/>
          <w:lang w:val="en-US" w:eastAsia="zh-CN"/>
        </w:rPr>
        <w:t>608.88</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551.31</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90.54</w:t>
      </w:r>
      <w:r>
        <w:rPr>
          <w:rFonts w:hint="eastAsia" w:asciiTheme="minorEastAsia" w:hAnsiTheme="minorEastAsia" w:eastAsiaTheme="minorEastAsia"/>
          <w:sz w:val="32"/>
          <w:szCs w:val="32"/>
        </w:rPr>
        <w:t>%,主要包括基本工资、津贴补贴、奖金、伙食补助费、</w:t>
      </w:r>
      <w:r>
        <w:rPr>
          <w:rFonts w:hint="eastAsia" w:asciiTheme="minorEastAsia" w:hAnsiTheme="minorEastAsia" w:eastAsiaTheme="minorEastAsia"/>
          <w:sz w:val="32"/>
          <w:szCs w:val="32"/>
          <w:lang w:val="en-US" w:eastAsia="zh-CN"/>
        </w:rPr>
        <w:t>机关事业单位基本养老保险缴费、职工基本医疗保险缴费、</w:t>
      </w:r>
      <w:r>
        <w:rPr>
          <w:rFonts w:hint="eastAsia" w:asciiTheme="minorEastAsia" w:hAnsiTheme="minorEastAsia" w:eastAsiaTheme="minorEastAsia"/>
          <w:sz w:val="32"/>
          <w:szCs w:val="32"/>
        </w:rPr>
        <w:t>其他社会保障支出、</w:t>
      </w:r>
      <w:r>
        <w:rPr>
          <w:rFonts w:hint="eastAsia" w:asciiTheme="minorEastAsia" w:hAnsiTheme="minorEastAsia" w:eastAsiaTheme="minorEastAsia"/>
          <w:sz w:val="32"/>
          <w:szCs w:val="32"/>
          <w:lang w:val="en-US" w:eastAsia="zh-CN"/>
        </w:rPr>
        <w:t>医疗费、</w:t>
      </w:r>
      <w:r>
        <w:rPr>
          <w:rFonts w:hint="eastAsia" w:asciiTheme="minorEastAsia" w:hAnsiTheme="minorEastAsia" w:eastAsiaTheme="minorEastAsia"/>
          <w:sz w:val="32"/>
          <w:szCs w:val="32"/>
        </w:rPr>
        <w:t>其他工资福利支出、离休费、退休费、抚恤金、生活补助、奖励金、其他对个人和家庭的补助支出；公用经费</w:t>
      </w:r>
      <w:r>
        <w:rPr>
          <w:rFonts w:hint="eastAsia" w:asciiTheme="minorEastAsia" w:hAnsiTheme="minorEastAsia" w:eastAsiaTheme="minorEastAsia"/>
          <w:sz w:val="32"/>
          <w:szCs w:val="32"/>
          <w:lang w:val="en-US" w:eastAsia="zh-CN"/>
        </w:rPr>
        <w:t>57.57</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9.46</w:t>
      </w:r>
      <w:r>
        <w:rPr>
          <w:rFonts w:hint="eastAsia" w:asciiTheme="minorEastAsia" w:hAnsiTheme="minorEastAsia" w:eastAsiaTheme="minorEastAsia"/>
          <w:sz w:val="32"/>
          <w:szCs w:val="32"/>
        </w:rPr>
        <w:t>%，主要包括办公费、印刷费、</w:t>
      </w:r>
      <w:r>
        <w:rPr>
          <w:rFonts w:hint="eastAsia" w:asciiTheme="minorEastAsia" w:hAnsiTheme="minorEastAsia" w:eastAsiaTheme="minorEastAsia"/>
          <w:sz w:val="32"/>
          <w:szCs w:val="32"/>
          <w:lang w:val="en-US" w:eastAsia="zh-CN"/>
        </w:rPr>
        <w:t>水费、电费、维修（护）费</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会议费、公务接待费、劳务费、工会经费、公务用车运行维护费、其他交通费用、税金及附加费用、其他商品和服务支出。</w:t>
      </w:r>
    </w:p>
    <w:p>
      <w:pPr>
        <w:pStyle w:val="19"/>
        <w:rPr>
          <w:rFonts w:hAnsi="黑体"/>
          <w:b/>
          <w:sz w:val="32"/>
          <w:szCs w:val="32"/>
        </w:rPr>
      </w:pPr>
      <w:r>
        <w:rPr>
          <w:rFonts w:hint="eastAsia" w:hAnsi="黑体"/>
          <w:b/>
          <w:sz w:val="32"/>
          <w:szCs w:val="32"/>
        </w:rPr>
        <w:t>七、一般公共预算财政拨款三公经费支出决算情况说明</w:t>
      </w:r>
    </w:p>
    <w:p>
      <w:pPr>
        <w:pStyle w:val="19"/>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9"/>
        <w:ind w:firstLine="793"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6.81</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75.67</w:t>
      </w:r>
      <w:r>
        <w:rPr>
          <w:rFonts w:hint="eastAsia" w:asciiTheme="minorEastAsia" w:hAnsiTheme="minorEastAsia" w:eastAsiaTheme="minorEastAsia"/>
          <w:sz w:val="32"/>
          <w:szCs w:val="32"/>
        </w:rPr>
        <w:t>%，其中：</w:t>
      </w:r>
    </w:p>
    <w:p>
      <w:pPr>
        <w:pStyle w:val="19"/>
        <w:ind w:firstLine="793"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较预算持平</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与上年保持一致。</w:t>
      </w:r>
    </w:p>
    <w:p>
      <w:pPr>
        <w:pStyle w:val="19"/>
        <w:ind w:firstLine="793"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3.89</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97.25</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val="en-US" w:eastAsia="zh-CN"/>
        </w:rPr>
        <w:t>厉行节约严格控制公务接待费用</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0.04</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1.02</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sz w:val="32"/>
          <w:szCs w:val="32"/>
          <w:lang w:val="en-US" w:eastAsia="zh-CN"/>
        </w:rPr>
        <w:t>厉行节约严格控制公务接待费用</w:t>
      </w:r>
      <w:r>
        <w:rPr>
          <w:rFonts w:hint="eastAsia" w:asciiTheme="minorEastAsia" w:hAnsiTheme="minorEastAsia" w:eastAsiaTheme="minorEastAsia"/>
          <w:sz w:val="32"/>
          <w:szCs w:val="32"/>
        </w:rPr>
        <w:t>。</w:t>
      </w:r>
    </w:p>
    <w:p>
      <w:pPr>
        <w:pStyle w:val="19"/>
        <w:ind w:firstLine="634"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公务用车购置费及运行维护费支出预算为</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2.92</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完成预算的58.4%，决算数小于预算数的主要原因是单位厉行节俭压缩公务用车开支</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1.34</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31.46</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sz w:val="32"/>
          <w:szCs w:val="32"/>
          <w:lang w:val="en-US" w:eastAsia="zh-CN"/>
        </w:rPr>
        <w:t>单位厉行节俭压缩公务用车开支</w:t>
      </w:r>
      <w:r>
        <w:rPr>
          <w:rFonts w:hint="eastAsia" w:asciiTheme="minorEastAsia" w:hAnsiTheme="minorEastAsia" w:eastAsiaTheme="minorEastAsia"/>
          <w:sz w:val="32"/>
          <w:szCs w:val="32"/>
        </w:rPr>
        <w:t>。</w:t>
      </w:r>
    </w:p>
    <w:p>
      <w:pPr>
        <w:pStyle w:val="19"/>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9"/>
        <w:ind w:firstLine="634"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2020年度“三公”经费财政拨款支出决算中，公务接待费支出决算</w:t>
      </w:r>
      <w:r>
        <w:rPr>
          <w:rFonts w:hint="eastAsia" w:asciiTheme="minorEastAsia" w:hAnsiTheme="minorEastAsia" w:eastAsiaTheme="minorEastAsia"/>
          <w:sz w:val="32"/>
          <w:szCs w:val="32"/>
          <w:lang w:val="en-US" w:eastAsia="zh-CN"/>
        </w:rPr>
        <w:t>3.89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57.12</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2.92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42.88</w:t>
      </w:r>
      <w:r>
        <w:rPr>
          <w:rFonts w:hint="eastAsia" w:asciiTheme="minorEastAsia" w:hAnsiTheme="minorEastAsia" w:eastAsiaTheme="minorEastAsia"/>
          <w:sz w:val="32"/>
          <w:szCs w:val="32"/>
        </w:rPr>
        <w:t>%。其中：</w:t>
      </w:r>
    </w:p>
    <w:p>
      <w:pPr>
        <w:pStyle w:val="19"/>
        <w:ind w:firstLine="634"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无相关开支内容。</w:t>
      </w:r>
    </w:p>
    <w:p>
      <w:pPr>
        <w:pStyle w:val="19"/>
        <w:ind w:firstLine="634"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3.89</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46</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263</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val="en-US" w:eastAsia="zh-CN"/>
        </w:rPr>
        <w:t>接待省社和其他市州调研、县级供销社及基层社来访</w:t>
      </w:r>
      <w:r>
        <w:rPr>
          <w:rFonts w:hint="eastAsia" w:asciiTheme="minorEastAsia" w:hAnsiTheme="minorEastAsia" w:eastAsiaTheme="minorEastAsia"/>
          <w:sz w:val="32"/>
          <w:szCs w:val="32"/>
        </w:rPr>
        <w:t>发生的接待支出。</w:t>
      </w:r>
    </w:p>
    <w:p>
      <w:pPr>
        <w:ind w:firstLine="793"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2.92</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2.92</w:t>
      </w:r>
      <w:r>
        <w:rPr>
          <w:rFonts w:hint="eastAsia" w:asciiTheme="minorEastAsia" w:hAnsiTheme="minorEastAsia"/>
          <w:sz w:val="32"/>
          <w:szCs w:val="32"/>
        </w:rPr>
        <w:t>万元，主要是</w:t>
      </w:r>
      <w:r>
        <w:rPr>
          <w:rFonts w:hint="eastAsia" w:asciiTheme="minorEastAsia" w:hAnsiTheme="minorEastAsia"/>
          <w:sz w:val="32"/>
          <w:szCs w:val="32"/>
          <w:lang w:val="en-US" w:eastAsia="zh-CN"/>
        </w:rPr>
        <w:t>公务用车油料费、维修费、保险费等</w:t>
      </w:r>
      <w:r>
        <w:rPr>
          <w:rFonts w:hint="eastAsia" w:asciiTheme="minorEastAsia" w:hAnsiTheme="minorEastAsia"/>
          <w:sz w:val="32"/>
          <w:szCs w:val="32"/>
        </w:rPr>
        <w:t>支出，截止2020年12月31日，我单位开支财政拨款的公务用车保有量为</w:t>
      </w:r>
      <w:r>
        <w:rPr>
          <w:rFonts w:hint="eastAsia" w:asciiTheme="minorEastAsia" w:hAnsiTheme="minorEastAsia"/>
          <w:sz w:val="32"/>
          <w:szCs w:val="32"/>
          <w:lang w:val="en-US" w:eastAsia="zh-CN"/>
        </w:rPr>
        <w:t>1</w:t>
      </w:r>
      <w:r>
        <w:rPr>
          <w:rFonts w:hint="eastAsia" w:asciiTheme="minorEastAsia" w:hAnsiTheme="minorEastAsia"/>
          <w:sz w:val="32"/>
          <w:szCs w:val="32"/>
        </w:rPr>
        <w:t>辆。</w:t>
      </w:r>
    </w:p>
    <w:p>
      <w:pPr>
        <w:pStyle w:val="19"/>
        <w:rPr>
          <w:rFonts w:hAnsi="黑体"/>
          <w:b/>
          <w:sz w:val="32"/>
          <w:szCs w:val="32"/>
        </w:rPr>
      </w:pPr>
      <w:r>
        <w:rPr>
          <w:rFonts w:hint="eastAsia" w:hAnsi="黑体"/>
          <w:b/>
          <w:sz w:val="32"/>
          <w:szCs w:val="32"/>
        </w:rPr>
        <w:t>八、政府性基金预算收入支出决算情况</w:t>
      </w:r>
    </w:p>
    <w:p>
      <w:pPr>
        <w:pStyle w:val="19"/>
        <w:rPr>
          <w:rFonts w:hint="default" w:asciiTheme="minorEastAsia" w:hAnsiTheme="minorEastAsia" w:eastAsiaTheme="minorEastAsia" w:cstheme="minorBidi"/>
          <w:color w:val="auto"/>
          <w:kern w:val="2"/>
          <w:sz w:val="32"/>
          <w:szCs w:val="32"/>
          <w:lang w:val="en-US" w:eastAsia="zh-CN" w:bidi="ar-SA"/>
        </w:rPr>
      </w:pPr>
      <w:r>
        <w:rPr>
          <w:rFonts w:hint="eastAsia" w:asciiTheme="minorEastAsia" w:hAnsiTheme="minorEastAsia" w:eastAsiaTheme="minorEastAsia"/>
          <w:sz w:val="32"/>
          <w:szCs w:val="32"/>
        </w:rPr>
        <w:t xml:space="preserve">     </w:t>
      </w:r>
      <w:r>
        <w:rPr>
          <w:rFonts w:hint="eastAsia" w:asciiTheme="minorEastAsia" w:hAnsiTheme="minorEastAsia" w:eastAsiaTheme="minorEastAsia" w:cstheme="minorBidi"/>
          <w:color w:val="auto"/>
          <w:kern w:val="2"/>
          <w:sz w:val="32"/>
          <w:szCs w:val="32"/>
          <w:lang w:val="en-US" w:eastAsia="zh-CN" w:bidi="ar-SA"/>
        </w:rPr>
        <w:t>岳阳市供销社2020年度无政府性基金预算收入支出。</w:t>
      </w:r>
    </w:p>
    <w:p>
      <w:pPr>
        <w:pStyle w:val="19"/>
        <w:rPr>
          <w:rFonts w:hAnsi="黑体"/>
          <w:b/>
          <w:sz w:val="32"/>
          <w:szCs w:val="32"/>
        </w:rPr>
      </w:pPr>
      <w:r>
        <w:rPr>
          <w:rFonts w:hint="eastAsia" w:hAnsi="黑体"/>
          <w:b/>
          <w:sz w:val="32"/>
          <w:szCs w:val="32"/>
        </w:rPr>
        <w:t>九、国有资本经营预算财政拨款支出决算情况</w:t>
      </w:r>
    </w:p>
    <w:p>
      <w:pPr>
        <w:pStyle w:val="19"/>
        <w:ind w:firstLine="647"/>
        <w:rPr>
          <w:rFonts w:hint="eastAsia" w:asciiTheme="minorEastAsia" w:hAnsiTheme="minorEastAsia" w:eastAsiaTheme="minorEastAsia" w:cstheme="minorBidi"/>
          <w:color w:val="auto"/>
          <w:kern w:val="2"/>
          <w:sz w:val="32"/>
          <w:szCs w:val="32"/>
          <w:lang w:val="en-US" w:eastAsia="zh-CN" w:bidi="ar-SA"/>
        </w:rPr>
      </w:pPr>
      <w:r>
        <w:rPr>
          <w:rFonts w:hint="eastAsia" w:asciiTheme="minorEastAsia" w:hAnsiTheme="minorEastAsia" w:eastAsiaTheme="minorEastAsia" w:cstheme="minorBidi"/>
          <w:color w:val="auto"/>
          <w:kern w:val="2"/>
          <w:sz w:val="32"/>
          <w:szCs w:val="32"/>
          <w:lang w:val="en-US" w:eastAsia="zh-CN" w:bidi="ar-SA"/>
        </w:rPr>
        <w:t>岳阳市供销社2020年度无国有资本经营预算财政拨款支出。</w:t>
      </w:r>
    </w:p>
    <w:p>
      <w:pPr>
        <w:pStyle w:val="19"/>
        <w:rPr>
          <w:rFonts w:hAnsi="黑体"/>
          <w:b/>
          <w:sz w:val="32"/>
          <w:szCs w:val="32"/>
        </w:rPr>
      </w:pPr>
      <w:r>
        <w:rPr>
          <w:rFonts w:hint="eastAsia" w:hAnsi="黑体"/>
          <w:b/>
          <w:sz w:val="32"/>
          <w:szCs w:val="32"/>
        </w:rPr>
        <w:t>十、关于机关运行经费支出说明</w:t>
      </w:r>
    </w:p>
    <w:p>
      <w:pPr>
        <w:pStyle w:val="19"/>
        <w:ind w:firstLine="634"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本部门2020年度机关运行经费支出</w:t>
      </w:r>
      <w:r>
        <w:rPr>
          <w:rFonts w:hint="eastAsia" w:asciiTheme="minorEastAsia" w:hAnsiTheme="minorEastAsia" w:eastAsiaTheme="minorEastAsia"/>
          <w:sz w:val="32"/>
          <w:szCs w:val="32"/>
          <w:lang w:val="en-US" w:eastAsia="zh-CN"/>
        </w:rPr>
        <w:t>57.57</w:t>
      </w:r>
      <w:r>
        <w:rPr>
          <w:rFonts w:hint="eastAsia" w:asciiTheme="minorEastAsia" w:hAnsiTheme="minorEastAsia" w:eastAsiaTheme="minorEastAsia"/>
          <w:sz w:val="32"/>
          <w:szCs w:val="32"/>
        </w:rPr>
        <w:t>万元，比年初预算数减少</w:t>
      </w:r>
      <w:r>
        <w:rPr>
          <w:rFonts w:hint="eastAsia" w:asciiTheme="minorEastAsia" w:hAnsiTheme="minorEastAsia" w:eastAsiaTheme="minorEastAsia"/>
          <w:sz w:val="32"/>
          <w:szCs w:val="32"/>
          <w:lang w:val="en-US" w:eastAsia="zh-CN"/>
        </w:rPr>
        <w:t>12.9</w:t>
      </w:r>
      <w:r>
        <w:rPr>
          <w:rFonts w:hint="eastAsia" w:asciiTheme="minorEastAsia" w:hAnsiTheme="minorEastAsia" w:eastAsiaTheme="minorEastAsia"/>
          <w:sz w:val="32"/>
          <w:szCs w:val="32"/>
        </w:rPr>
        <w:t xml:space="preserve"> 万元，降低</w:t>
      </w:r>
      <w:r>
        <w:rPr>
          <w:rFonts w:hint="eastAsia" w:asciiTheme="minorEastAsia" w:hAnsiTheme="minorEastAsia" w:eastAsiaTheme="minorEastAsia"/>
          <w:sz w:val="32"/>
          <w:szCs w:val="32"/>
          <w:lang w:val="en-US" w:eastAsia="zh-CN"/>
        </w:rPr>
        <w:t>18.31</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val="en-US" w:eastAsia="zh-CN"/>
        </w:rPr>
        <w:t>单位人员减少，压缩公用经费。</w:t>
      </w:r>
    </w:p>
    <w:p>
      <w:pPr>
        <w:pStyle w:val="19"/>
        <w:rPr>
          <w:rFonts w:hAnsi="黑体"/>
          <w:b/>
          <w:sz w:val="32"/>
          <w:szCs w:val="32"/>
        </w:rPr>
      </w:pPr>
      <w:r>
        <w:rPr>
          <w:rFonts w:hint="eastAsia" w:hAnsi="黑体"/>
          <w:b/>
          <w:sz w:val="32"/>
          <w:szCs w:val="32"/>
        </w:rPr>
        <w:t>十一、一般性支出情况</w:t>
      </w:r>
    </w:p>
    <w:p>
      <w:pPr>
        <w:pStyle w:val="19"/>
        <w:ind w:firstLine="634" w:firstLineChars="200"/>
        <w:rPr>
          <w:rFonts w:hint="default" w:asciiTheme="minorEastAsia" w:hAnsiTheme="minorEastAsia" w:eastAsiaTheme="minorEastAsia"/>
          <w:color w:val="auto"/>
          <w:sz w:val="32"/>
          <w:szCs w:val="32"/>
          <w:lang w:val="en-US" w:eastAsia="zh-CN"/>
        </w:rPr>
      </w:pPr>
      <w:r>
        <w:rPr>
          <w:rFonts w:hint="eastAsia" w:asciiTheme="minorEastAsia" w:hAnsiTheme="minorEastAsia" w:eastAsiaTheme="minorEastAsia"/>
          <w:color w:val="auto"/>
          <w:sz w:val="32"/>
          <w:szCs w:val="32"/>
        </w:rPr>
        <w:t>2020年本部门开支会议费</w:t>
      </w:r>
      <w:r>
        <w:rPr>
          <w:rFonts w:hint="eastAsia" w:asciiTheme="minorEastAsia" w:hAnsiTheme="minorEastAsia" w:eastAsiaTheme="minorEastAsia"/>
          <w:color w:val="auto"/>
          <w:sz w:val="32"/>
          <w:szCs w:val="32"/>
          <w:lang w:val="en-US" w:eastAsia="zh-CN"/>
        </w:rPr>
        <w:t>2.17</w:t>
      </w:r>
      <w:r>
        <w:rPr>
          <w:rFonts w:hint="eastAsia" w:asciiTheme="minorEastAsia" w:hAnsiTheme="minorEastAsia" w:eastAsiaTheme="minorEastAsia"/>
          <w:color w:val="auto"/>
          <w:sz w:val="32"/>
          <w:szCs w:val="32"/>
        </w:rPr>
        <w:t>万元，用于召开</w:t>
      </w:r>
      <w:r>
        <w:rPr>
          <w:rFonts w:hint="eastAsia" w:asciiTheme="minorEastAsia" w:hAnsiTheme="minorEastAsia" w:eastAsiaTheme="minorEastAsia"/>
          <w:color w:val="auto"/>
          <w:sz w:val="32"/>
          <w:szCs w:val="32"/>
          <w:lang w:val="en-US" w:eastAsia="zh-CN"/>
        </w:rPr>
        <w:t>财务工作会议、监事会工作会议、业务工作会议、综合绩效考核会议、省社“十四五”规划座谈会、传达全国总社七代会精神会议</w:t>
      </w:r>
      <w:r>
        <w:rPr>
          <w:rFonts w:hint="eastAsia" w:asciiTheme="minorEastAsia" w:hAnsiTheme="minorEastAsia" w:eastAsiaTheme="minorEastAsia"/>
          <w:color w:val="auto"/>
          <w:sz w:val="32"/>
          <w:szCs w:val="32"/>
        </w:rPr>
        <w:t>，人数</w:t>
      </w:r>
      <w:r>
        <w:rPr>
          <w:rFonts w:hint="eastAsia" w:asciiTheme="minorEastAsia" w:hAnsiTheme="minorEastAsia" w:eastAsiaTheme="minorEastAsia"/>
          <w:color w:val="auto"/>
          <w:sz w:val="32"/>
          <w:szCs w:val="32"/>
          <w:lang w:val="en-US" w:eastAsia="zh-CN"/>
        </w:rPr>
        <w:t>约221人</w:t>
      </w:r>
      <w:r>
        <w:rPr>
          <w:rFonts w:hint="eastAsia"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val="en-US" w:eastAsia="zh-CN"/>
        </w:rPr>
        <w:t>三类会议中财务工作会议经费预算0.42万元，监事会工作会议经费预算0.2万元，业务工作会议预算0.2万元，省社“十四五”规划调研座谈会经费预算1.1万元，综合业绩考核工作会议经费预算0.7万元，传达全国总社七代会精神会议经费预算0.98万元。2020年本部门开支培训费0万元；未举办节庆、晚会、论坛、赛事活动，开支0万元。</w:t>
      </w:r>
    </w:p>
    <w:p>
      <w:pPr>
        <w:pStyle w:val="19"/>
        <w:rPr>
          <w:rFonts w:hAnsi="黑体"/>
          <w:b/>
          <w:sz w:val="32"/>
          <w:szCs w:val="32"/>
        </w:rPr>
      </w:pPr>
      <w:r>
        <w:rPr>
          <w:rFonts w:hint="eastAsia" w:hAnsi="黑体"/>
          <w:b/>
          <w:sz w:val="32"/>
          <w:szCs w:val="32"/>
        </w:rPr>
        <w:t>十二、关于政府采购支出说明</w:t>
      </w:r>
    </w:p>
    <w:p>
      <w:pPr>
        <w:pStyle w:val="19"/>
        <w:ind w:firstLine="634"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本部门2020年度无政府采购支出。</w:t>
      </w:r>
    </w:p>
    <w:p>
      <w:pPr>
        <w:pStyle w:val="19"/>
        <w:rPr>
          <w:rFonts w:hAnsi="黑体"/>
          <w:b/>
          <w:sz w:val="32"/>
          <w:szCs w:val="32"/>
        </w:rPr>
      </w:pPr>
      <w:r>
        <w:rPr>
          <w:rFonts w:hint="eastAsia" w:hAnsi="黑体"/>
          <w:b/>
          <w:sz w:val="32"/>
          <w:szCs w:val="32"/>
        </w:rPr>
        <w:t>十三、关于国有资产占用情况说明</w:t>
      </w:r>
    </w:p>
    <w:p>
      <w:pPr>
        <w:pStyle w:val="19"/>
        <w:ind w:firstLine="634"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截至2020年12月31日，本单位共有车辆</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辆，其中，机要通信用车</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无</w:t>
      </w:r>
      <w:r>
        <w:rPr>
          <w:rFonts w:hint="eastAsia" w:asciiTheme="minorEastAsia" w:hAnsiTheme="minorEastAsia" w:eastAsiaTheme="minorEastAsia"/>
          <w:sz w:val="32"/>
          <w:szCs w:val="32"/>
        </w:rPr>
        <w:t>主要领导干部用车、</w:t>
      </w:r>
      <w:r>
        <w:rPr>
          <w:rFonts w:hint="eastAsia" w:asciiTheme="minorEastAsia" w:hAnsiTheme="minorEastAsia" w:eastAsiaTheme="minorEastAsia"/>
          <w:sz w:val="32"/>
          <w:szCs w:val="32"/>
          <w:lang w:val="en-US" w:eastAsia="zh-CN"/>
        </w:rPr>
        <w:t>无</w:t>
      </w:r>
      <w:r>
        <w:rPr>
          <w:rFonts w:hint="eastAsia" w:asciiTheme="minorEastAsia" w:hAnsiTheme="minorEastAsia" w:eastAsiaTheme="minorEastAsia"/>
          <w:sz w:val="32"/>
          <w:szCs w:val="32"/>
        </w:rPr>
        <w:t>应急保障用车、</w:t>
      </w:r>
      <w:r>
        <w:rPr>
          <w:rFonts w:hint="eastAsia" w:asciiTheme="minorEastAsia" w:hAnsiTheme="minorEastAsia" w:eastAsiaTheme="minorEastAsia"/>
          <w:sz w:val="32"/>
          <w:szCs w:val="32"/>
          <w:lang w:val="en-US" w:eastAsia="zh-CN"/>
        </w:rPr>
        <w:t>无</w:t>
      </w:r>
      <w:r>
        <w:rPr>
          <w:rFonts w:hint="eastAsia" w:asciiTheme="minorEastAsia" w:hAnsiTheme="minorEastAsia" w:eastAsiaTheme="minorEastAsia"/>
          <w:sz w:val="32"/>
          <w:szCs w:val="32"/>
        </w:rPr>
        <w:t>执法执勤用车、</w:t>
      </w:r>
      <w:r>
        <w:rPr>
          <w:rFonts w:hint="eastAsia" w:asciiTheme="minorEastAsia" w:hAnsiTheme="minorEastAsia" w:eastAsiaTheme="minorEastAsia"/>
          <w:sz w:val="32"/>
          <w:szCs w:val="32"/>
          <w:lang w:val="en-US" w:eastAsia="zh-CN"/>
        </w:rPr>
        <w:t>无</w:t>
      </w:r>
      <w:r>
        <w:rPr>
          <w:rFonts w:hint="eastAsia" w:asciiTheme="minorEastAsia" w:hAnsiTheme="minorEastAsia" w:eastAsiaTheme="minorEastAsia"/>
          <w:sz w:val="32"/>
          <w:szCs w:val="32"/>
        </w:rPr>
        <w:t>特种专业技术用车；</w:t>
      </w:r>
      <w:r>
        <w:rPr>
          <w:rFonts w:hint="eastAsia" w:asciiTheme="minorEastAsia" w:hAnsiTheme="minorEastAsia" w:eastAsiaTheme="minorEastAsia"/>
          <w:sz w:val="32"/>
          <w:szCs w:val="32"/>
          <w:lang w:val="en-US" w:eastAsia="zh-CN"/>
        </w:rPr>
        <w:t>无</w:t>
      </w:r>
      <w:r>
        <w:rPr>
          <w:rFonts w:hint="eastAsia" w:asciiTheme="minorEastAsia" w:hAnsiTheme="minorEastAsia" w:eastAsiaTheme="minorEastAsia"/>
          <w:sz w:val="32"/>
          <w:szCs w:val="32"/>
        </w:rPr>
        <w:t>单位价值50万元以上通用设备；</w:t>
      </w:r>
      <w:r>
        <w:rPr>
          <w:rFonts w:hint="eastAsia" w:asciiTheme="minorEastAsia" w:hAnsiTheme="minorEastAsia" w:eastAsiaTheme="minorEastAsia"/>
          <w:sz w:val="32"/>
          <w:szCs w:val="32"/>
          <w:lang w:val="en-US" w:eastAsia="zh-CN"/>
        </w:rPr>
        <w:t>无</w:t>
      </w:r>
      <w:r>
        <w:rPr>
          <w:rFonts w:hint="eastAsia" w:asciiTheme="minorEastAsia" w:hAnsiTheme="minorEastAsia" w:eastAsiaTheme="minorEastAsia"/>
          <w:sz w:val="32"/>
          <w:szCs w:val="32"/>
        </w:rPr>
        <w:t>单位价值100万元以上专用设备。</w:t>
      </w:r>
    </w:p>
    <w:p>
      <w:pPr>
        <w:pStyle w:val="19"/>
        <w:rPr>
          <w:rFonts w:hAnsi="黑体"/>
          <w:b/>
          <w:sz w:val="32"/>
          <w:szCs w:val="32"/>
        </w:rPr>
      </w:pPr>
      <w:r>
        <w:rPr>
          <w:rFonts w:hint="eastAsia" w:hAnsi="黑体"/>
          <w:b/>
          <w:sz w:val="32"/>
          <w:szCs w:val="32"/>
        </w:rPr>
        <w:t>十四、关于2020年度预算绩效情况的说明</w:t>
      </w:r>
    </w:p>
    <w:p>
      <w:pPr>
        <w:pStyle w:val="19"/>
        <w:ind w:firstLine="634"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本部门预算绩效管理</w:t>
      </w:r>
      <w:r>
        <w:rPr>
          <w:rFonts w:hint="eastAsia" w:asciiTheme="minorEastAsia" w:hAnsiTheme="minorEastAsia" w:eastAsiaTheme="minorEastAsia"/>
          <w:sz w:val="32"/>
          <w:szCs w:val="32"/>
          <w:lang w:val="en-US" w:eastAsia="zh-CN"/>
        </w:rPr>
        <w:t>工作得到领导高度重视，绩效管理各项工作有条不紊进行。绩效目标、绩效评价报告等已按照财政绩效部门要求公开。（详见附件）</w:t>
      </w:r>
    </w:p>
    <w:p>
      <w:pPr>
        <w:pStyle w:val="19"/>
        <w:rPr>
          <w:rFonts w:hAnsi="黑体"/>
          <w:b/>
          <w:sz w:val="32"/>
          <w:szCs w:val="32"/>
        </w:rPr>
      </w:pPr>
    </w:p>
    <w:p>
      <w:pPr>
        <w:pStyle w:val="19"/>
        <w:jc w:val="both"/>
        <w:rPr>
          <w:sz w:val="72"/>
          <w:szCs w:val="72"/>
        </w:rPr>
      </w:pPr>
    </w:p>
    <w:p>
      <w:pPr>
        <w:pStyle w:val="19"/>
        <w:jc w:val="center"/>
        <w:rPr>
          <w:sz w:val="72"/>
          <w:szCs w:val="72"/>
        </w:rPr>
      </w:pPr>
    </w:p>
    <w:p>
      <w:pPr>
        <w:pStyle w:val="19"/>
        <w:jc w:val="center"/>
        <w:rPr>
          <w:sz w:val="72"/>
          <w:szCs w:val="72"/>
        </w:rPr>
      </w:pPr>
    </w:p>
    <w:p>
      <w:pPr>
        <w:pStyle w:val="19"/>
        <w:jc w:val="both"/>
        <w:rPr>
          <w:sz w:val="72"/>
          <w:szCs w:val="72"/>
        </w:rPr>
      </w:pPr>
    </w:p>
    <w:p>
      <w:pPr>
        <w:pStyle w:val="19"/>
        <w:jc w:val="center"/>
        <w:rPr>
          <w:sz w:val="72"/>
          <w:szCs w:val="72"/>
        </w:rPr>
      </w:pPr>
    </w:p>
    <w:p>
      <w:pPr>
        <w:pStyle w:val="19"/>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hint="eastAsia"/>
          <w:sz w:val="72"/>
          <w:szCs w:val="72"/>
        </w:rPr>
      </w:pPr>
      <w:r>
        <w:rPr>
          <w:rFonts w:ascii="黑体" w:eastAsia="黑体" w:cs="黑体"/>
          <w:color w:val="000000"/>
          <w:kern w:val="0"/>
          <w:sz w:val="70"/>
          <w:szCs w:val="70"/>
        </w:rPr>
        <w:br w:type="page"/>
      </w:r>
    </w:p>
    <w:p>
      <w:pPr>
        <w:pStyle w:val="19"/>
        <w:ind w:firstLine="634"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1、基本支出：是指反映行政事业单位为保障其机构正常运转、完成日常工作任务所需的最基本的支出，具体包括工资福利支出、一般商品和服务支出、对个人和家庭的补助。</w:t>
      </w:r>
    </w:p>
    <w:p>
      <w:pPr>
        <w:pStyle w:val="19"/>
        <w:ind w:firstLine="634"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2、项目支出：是指反映行政事业单位在基本支出之外为完成其特定行政任务和事业发展目标所需的经费支出。</w:t>
      </w:r>
    </w:p>
    <w:p>
      <w:pPr>
        <w:pStyle w:val="19"/>
        <w:ind w:firstLine="634"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3、因公出国（境）支出：是指单位工作人员公务出国（境）的住宿费、</w:t>
      </w:r>
      <w:r>
        <w:rPr>
          <w:rFonts w:hint="eastAsia" w:asciiTheme="minorEastAsia" w:hAnsiTheme="minorEastAsia" w:eastAsiaTheme="minorEastAsia"/>
          <w:sz w:val="32"/>
          <w:szCs w:val="32"/>
          <w:lang w:val="en-US" w:eastAsia="zh-CN"/>
        </w:rPr>
        <w:t>差</w:t>
      </w:r>
      <w:r>
        <w:rPr>
          <w:rFonts w:hint="eastAsia" w:asciiTheme="minorEastAsia" w:hAnsiTheme="minorEastAsia" w:eastAsiaTheme="minorEastAsia"/>
          <w:sz w:val="32"/>
          <w:szCs w:val="32"/>
        </w:rPr>
        <w:t>旅费、伙食补助费、杂费、培训费等公共预算财政拨款支出。</w:t>
      </w:r>
    </w:p>
    <w:p>
      <w:pPr>
        <w:pStyle w:val="19"/>
        <w:ind w:firstLine="634"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4、公务用车购置及运行维护费：是指公务用车车辆购置支出（含车辆购置税），以及公务用车租用费、燃料费、维修费、过桥过路费、保险费、安全奖励费等公共预算财政拨款支出。</w:t>
      </w:r>
    </w:p>
    <w:p>
      <w:pPr>
        <w:pStyle w:val="19"/>
        <w:ind w:firstLine="634"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5、公务接待费支出：是指单位按规定开支的各类公务接待（含外宾接待）的公共预算财政拨款支出。</w:t>
      </w:r>
    </w:p>
    <w:p>
      <w:pPr>
        <w:pStyle w:val="19"/>
        <w:ind w:firstLine="634"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pStyle w:val="19"/>
        <w:ind w:firstLine="634" w:firstLineChars="200"/>
        <w:rPr>
          <w:sz w:val="72"/>
          <w:szCs w:val="72"/>
        </w:rPr>
      </w:pP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、机关运行经费</w:t>
      </w:r>
      <w:r>
        <w:rPr>
          <w:rFonts w:hint="eastAsia" w:asciiTheme="minorEastAsia" w:hAnsiTheme="minorEastAsia" w:eastAsiaTheme="minorEastAsia"/>
          <w:sz w:val="32"/>
          <w:szCs w:val="32"/>
          <w:lang w:val="en-US" w:eastAsia="zh-CN"/>
        </w:rPr>
        <w:t>支出</w:t>
      </w:r>
      <w:r>
        <w:rPr>
          <w:rFonts w:hint="eastAsia" w:asciiTheme="minorEastAsia" w:hAnsiTheme="minorEastAsia" w:eastAsiaTheme="minorEastAsia"/>
          <w:sz w:val="32"/>
          <w:szCs w:val="32"/>
        </w:rPr>
        <w:t>：是指各部门的公用经费，包括办公及印刷费、邮电费、差旅费、会议费、福利费、日常维修费、专业资料及一般设备购置费、办公用房水电费、办公用房取暖费、办公用房物业管理费、公务用车运行维护费以及其他费用。</w:t>
      </w:r>
    </w:p>
    <w:p>
      <w:pPr>
        <w:pStyle w:val="19"/>
        <w:jc w:val="center"/>
        <w:rPr>
          <w:sz w:val="72"/>
          <w:szCs w:val="72"/>
        </w:rPr>
      </w:pPr>
    </w:p>
    <w:p>
      <w:pPr>
        <w:pStyle w:val="19"/>
        <w:jc w:val="center"/>
        <w:rPr>
          <w:sz w:val="72"/>
          <w:szCs w:val="72"/>
        </w:rPr>
      </w:pPr>
    </w:p>
    <w:p>
      <w:pPr>
        <w:pStyle w:val="19"/>
        <w:jc w:val="center"/>
        <w:rPr>
          <w:sz w:val="72"/>
          <w:szCs w:val="72"/>
        </w:rPr>
      </w:pPr>
    </w:p>
    <w:p>
      <w:pPr>
        <w:pStyle w:val="19"/>
        <w:jc w:val="center"/>
        <w:rPr>
          <w:rFonts w:hint="eastAsia"/>
          <w:sz w:val="72"/>
          <w:szCs w:val="72"/>
        </w:rPr>
      </w:pPr>
    </w:p>
    <w:p>
      <w:pPr>
        <w:pStyle w:val="19"/>
        <w:jc w:val="center"/>
        <w:rPr>
          <w:rFonts w:hint="eastAsia"/>
          <w:sz w:val="72"/>
          <w:szCs w:val="72"/>
        </w:rPr>
      </w:pPr>
    </w:p>
    <w:p>
      <w:pPr>
        <w:pStyle w:val="19"/>
        <w:jc w:val="center"/>
        <w:rPr>
          <w:rFonts w:hint="eastAsia"/>
          <w:sz w:val="72"/>
          <w:szCs w:val="72"/>
        </w:rPr>
      </w:pPr>
    </w:p>
    <w:p>
      <w:pPr>
        <w:pStyle w:val="19"/>
        <w:jc w:val="center"/>
        <w:rPr>
          <w:rFonts w:hint="eastAsia"/>
          <w:sz w:val="72"/>
          <w:szCs w:val="72"/>
        </w:rPr>
      </w:pPr>
    </w:p>
    <w:p>
      <w:pPr>
        <w:pStyle w:val="19"/>
        <w:jc w:val="center"/>
        <w:rPr>
          <w:rFonts w:hint="eastAsia"/>
          <w:sz w:val="72"/>
          <w:szCs w:val="72"/>
        </w:rPr>
      </w:pPr>
    </w:p>
    <w:p>
      <w:pPr>
        <w:pStyle w:val="19"/>
        <w:jc w:val="center"/>
        <w:rPr>
          <w:rFonts w:hint="eastAsia"/>
          <w:sz w:val="72"/>
          <w:szCs w:val="72"/>
        </w:rPr>
      </w:pPr>
    </w:p>
    <w:p>
      <w:pPr>
        <w:pStyle w:val="19"/>
        <w:jc w:val="center"/>
        <w:rPr>
          <w:rFonts w:hint="eastAsia"/>
          <w:sz w:val="72"/>
          <w:szCs w:val="72"/>
        </w:rPr>
      </w:pPr>
    </w:p>
    <w:p>
      <w:pPr>
        <w:pStyle w:val="19"/>
        <w:jc w:val="center"/>
        <w:rPr>
          <w:rFonts w:hint="eastAsia"/>
          <w:sz w:val="72"/>
          <w:szCs w:val="72"/>
        </w:rPr>
      </w:pPr>
    </w:p>
    <w:p>
      <w:pPr>
        <w:pStyle w:val="19"/>
        <w:jc w:val="center"/>
        <w:rPr>
          <w:rFonts w:hint="eastAsia"/>
          <w:sz w:val="72"/>
          <w:szCs w:val="72"/>
        </w:rPr>
      </w:pPr>
    </w:p>
    <w:p>
      <w:pPr>
        <w:pStyle w:val="19"/>
        <w:jc w:val="center"/>
        <w:rPr>
          <w:rFonts w:hint="eastAsia"/>
          <w:sz w:val="72"/>
          <w:szCs w:val="72"/>
        </w:rPr>
      </w:pPr>
    </w:p>
    <w:p>
      <w:pPr>
        <w:pStyle w:val="19"/>
        <w:jc w:val="center"/>
        <w:rPr>
          <w:rFonts w:hint="eastAsia"/>
          <w:sz w:val="72"/>
          <w:szCs w:val="72"/>
        </w:rPr>
      </w:pPr>
    </w:p>
    <w:p>
      <w:pPr>
        <w:pStyle w:val="19"/>
        <w:jc w:val="center"/>
        <w:rPr>
          <w:rFonts w:hint="eastAsia"/>
          <w:sz w:val="72"/>
          <w:szCs w:val="72"/>
        </w:rPr>
      </w:pPr>
    </w:p>
    <w:p>
      <w:pPr>
        <w:pStyle w:val="19"/>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spacing w:line="800" w:lineRule="exact"/>
        <w:jc w:val="center"/>
        <w:rPr>
          <w:rFonts w:hint="eastAsia" w:ascii="宋体" w:hAnsi="宋体" w:eastAsia="宋体" w:cs="宋体"/>
          <w:b/>
          <w:bCs w:val="0"/>
          <w:sz w:val="44"/>
          <w:szCs w:val="44"/>
        </w:rPr>
      </w:pPr>
      <w:r>
        <w:rPr>
          <w:rFonts w:hint="eastAsia" w:ascii="宋体" w:hAnsi="宋体" w:eastAsia="宋体" w:cs="宋体"/>
          <w:b/>
          <w:bCs w:val="0"/>
          <w:sz w:val="44"/>
          <w:szCs w:val="44"/>
        </w:rPr>
        <w:t>岳阳市2020年度部门整体支出</w:t>
      </w:r>
    </w:p>
    <w:p>
      <w:pPr>
        <w:spacing w:line="800" w:lineRule="exact"/>
        <w:jc w:val="center"/>
        <w:rPr>
          <w:rFonts w:hint="eastAsia" w:ascii="宋体" w:hAnsi="宋体" w:eastAsia="宋体" w:cs="宋体"/>
          <w:b/>
          <w:bCs w:val="0"/>
          <w:sz w:val="44"/>
          <w:szCs w:val="44"/>
        </w:rPr>
      </w:pPr>
      <w:r>
        <w:rPr>
          <w:rFonts w:hint="eastAsia" w:ascii="宋体" w:hAnsi="宋体" w:eastAsia="宋体" w:cs="宋体"/>
          <w:b/>
          <w:bCs w:val="0"/>
          <w:sz w:val="44"/>
          <w:szCs w:val="44"/>
        </w:rPr>
        <w:t>绩效评价自评报告</w:t>
      </w:r>
    </w:p>
    <w:p>
      <w:pPr>
        <w:rPr>
          <w:rFonts w:eastAsia="仿宋_GB2312"/>
          <w:b/>
          <w:sz w:val="44"/>
          <w:szCs w:val="44"/>
        </w:rPr>
      </w:pPr>
    </w:p>
    <w:p>
      <w:pPr>
        <w:rPr>
          <w:rFonts w:eastAsia="仿宋_GB2312"/>
          <w:b/>
          <w:sz w:val="32"/>
        </w:rPr>
      </w:pPr>
    </w:p>
    <w:p>
      <w:pPr>
        <w:rPr>
          <w:rFonts w:eastAsia="仿宋_GB2312"/>
          <w:b/>
          <w:sz w:val="32"/>
        </w:rPr>
      </w:pPr>
    </w:p>
    <w:p>
      <w:pPr>
        <w:spacing w:beforeLines="50" w:line="348" w:lineRule="auto"/>
        <w:ind w:firstLine="476" w:firstLineChars="150"/>
        <w:rPr>
          <w:rFonts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w:t>
      </w:r>
      <w:r>
        <w:rPr>
          <w:rFonts w:hint="eastAsia" w:eastAsia="仿宋_GB2312"/>
          <w:sz w:val="32"/>
          <w:szCs w:val="32"/>
          <w:u w:val="single"/>
          <w:lang w:val="en-US" w:eastAsia="zh-CN"/>
        </w:rPr>
        <w:t>岳阳市供销合作联社</w:t>
      </w:r>
      <w:r>
        <w:rPr>
          <w:rFonts w:hint="eastAsia" w:eastAsia="仿宋_GB2312"/>
          <w:sz w:val="32"/>
          <w:szCs w:val="32"/>
          <w:u w:val="single"/>
        </w:rPr>
        <w:t xml:space="preserve">                           </w:t>
      </w:r>
    </w:p>
    <w:p>
      <w:pPr>
        <w:spacing w:beforeLines="50" w:line="348" w:lineRule="auto"/>
        <w:ind w:firstLine="476" w:firstLineChars="150"/>
        <w:rPr>
          <w:rFonts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w:t>
      </w:r>
      <w:r>
        <w:rPr>
          <w:rFonts w:hint="eastAsia" w:eastAsia="仿宋_GB2312"/>
          <w:spacing w:val="20"/>
          <w:sz w:val="32"/>
          <w:szCs w:val="32"/>
          <w:u w:val="single"/>
          <w:lang w:val="en-US" w:eastAsia="zh-CN"/>
        </w:rPr>
        <w:t xml:space="preserve"> </w:t>
      </w:r>
      <w:r>
        <w:rPr>
          <w:rFonts w:hint="eastAsia" w:eastAsia="仿宋_GB2312"/>
          <w:spacing w:val="20"/>
          <w:sz w:val="32"/>
          <w:szCs w:val="32"/>
          <w:u w:val="single"/>
        </w:rPr>
        <w:t xml:space="preserve"> </w:t>
      </w:r>
      <w:r>
        <w:rPr>
          <w:rFonts w:hint="eastAsia" w:eastAsia="仿宋_GB2312"/>
          <w:spacing w:val="20"/>
          <w:sz w:val="32"/>
          <w:szCs w:val="32"/>
          <w:u w:val="single"/>
          <w:lang w:val="en-US" w:eastAsia="zh-CN"/>
        </w:rPr>
        <w:t>410001</w:t>
      </w:r>
      <w:r>
        <w:rPr>
          <w:rFonts w:hint="eastAsia" w:eastAsia="仿宋_GB2312"/>
          <w:spacing w:val="20"/>
          <w:sz w:val="32"/>
          <w:szCs w:val="32"/>
          <w:u w:val="single"/>
        </w:rPr>
        <w:t xml:space="preserve">                </w:t>
      </w:r>
    </w:p>
    <w:p>
      <w:pPr>
        <w:spacing w:beforeLines="50" w:line="348" w:lineRule="auto"/>
        <w:ind w:firstLine="476" w:firstLineChars="150"/>
        <w:rPr>
          <w:rFonts w:eastAsia="仿宋_GB2312"/>
          <w:sz w:val="32"/>
          <w:szCs w:val="32"/>
        </w:rPr>
      </w:pPr>
      <w:r>
        <w:rPr>
          <w:rFonts w:hint="eastAsia" w:eastAsia="仿宋_GB2312"/>
          <w:sz w:val="32"/>
          <w:szCs w:val="32"/>
        </w:rPr>
        <w:t>评价方式：部门（单位）绩效自评</w:t>
      </w:r>
    </w:p>
    <w:p>
      <w:pPr>
        <w:spacing w:beforeLines="50" w:line="348" w:lineRule="auto"/>
        <w:ind w:firstLine="476" w:firstLineChars="150"/>
        <w:rPr>
          <w:rFonts w:eastAsia="仿宋_GB2312"/>
          <w:sz w:val="32"/>
          <w:szCs w:val="32"/>
        </w:rPr>
      </w:pPr>
      <w:r>
        <w:rPr>
          <w:rFonts w:hint="eastAsia" w:eastAsia="仿宋_GB2312"/>
          <w:sz w:val="32"/>
          <w:szCs w:val="32"/>
        </w:rPr>
        <w:t xml:space="preserve">评价机构：部门（单位）评价组   </w:t>
      </w: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348" w:lineRule="auto"/>
        <w:jc w:val="center"/>
        <w:rPr>
          <w:rFonts w:eastAsia="仿宋_GB2312"/>
          <w:sz w:val="32"/>
        </w:rPr>
      </w:pPr>
      <w:r>
        <w:rPr>
          <w:rFonts w:hint="eastAsia" w:eastAsia="仿宋_GB2312"/>
          <w:sz w:val="32"/>
        </w:rPr>
        <w:t xml:space="preserve">报告日期：  </w:t>
      </w:r>
      <w:r>
        <w:rPr>
          <w:rFonts w:hint="eastAsia" w:eastAsia="仿宋_GB2312"/>
          <w:sz w:val="32"/>
          <w:lang w:val="en-US" w:eastAsia="zh-CN"/>
        </w:rPr>
        <w:t>2021</w:t>
      </w:r>
      <w:r>
        <w:rPr>
          <w:rFonts w:hint="eastAsia" w:eastAsia="仿宋_GB2312"/>
          <w:sz w:val="32"/>
        </w:rPr>
        <w:t xml:space="preserve"> 年  </w:t>
      </w:r>
      <w:r>
        <w:rPr>
          <w:rFonts w:hint="eastAsia" w:eastAsia="仿宋_GB2312"/>
          <w:sz w:val="32"/>
          <w:lang w:val="en-US" w:eastAsia="zh-CN"/>
        </w:rPr>
        <w:t>6</w:t>
      </w:r>
      <w:r>
        <w:rPr>
          <w:rFonts w:hint="eastAsia" w:eastAsia="仿宋_GB2312"/>
          <w:sz w:val="32"/>
        </w:rPr>
        <w:t xml:space="preserve"> 月  </w:t>
      </w:r>
      <w:r>
        <w:rPr>
          <w:rFonts w:hint="eastAsia" w:eastAsia="仿宋_GB2312"/>
          <w:sz w:val="32"/>
          <w:lang w:val="en-US" w:eastAsia="zh-CN"/>
        </w:rPr>
        <w:t>8</w:t>
      </w:r>
      <w:r>
        <w:rPr>
          <w:rFonts w:hint="eastAsia" w:eastAsia="仿宋_GB2312"/>
          <w:sz w:val="32"/>
        </w:rPr>
        <w:t xml:space="preserve"> 日</w:t>
      </w:r>
    </w:p>
    <w:p>
      <w:pPr>
        <w:autoSpaceDN w:val="0"/>
        <w:jc w:val="center"/>
        <w:textAlignment w:val="center"/>
        <w:rPr>
          <w:rFonts w:eastAsia="仿宋_GB2312"/>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247" w:right="1588" w:bottom="1247" w:left="1588" w:header="851" w:footer="992" w:gutter="0"/>
          <w:pgNumType w:start="1"/>
          <w:cols w:space="720" w:num="1"/>
          <w:docGrid w:type="linesAndChars" w:linePitch="602" w:charSpace="-782"/>
        </w:sectPr>
      </w:pPr>
      <w:r>
        <w:rPr>
          <w:rFonts w:hint="eastAsia" w:eastAsia="仿宋_GB2312"/>
          <w:sz w:val="32"/>
        </w:rPr>
        <w:t>岳阳市财政</w:t>
      </w:r>
      <w:r>
        <w:rPr>
          <w:rFonts w:hint="eastAsia" w:eastAsia="仿宋_GB2312"/>
          <w:sz w:val="32"/>
          <w:szCs w:val="32"/>
        </w:rPr>
        <w:t>局（制）</w:t>
      </w:r>
    </w:p>
    <w:tbl>
      <w:tblPr>
        <w:tblStyle w:val="9"/>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79"/>
        <w:gridCol w:w="226"/>
        <w:gridCol w:w="196"/>
        <w:gridCol w:w="259"/>
        <w:gridCol w:w="1080"/>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钟珊珊</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8"/>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0730-3103358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38</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8"/>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5"/>
            <w:vAlign w:val="center"/>
          </w:tcPr>
          <w:p>
            <w:pPr>
              <w:keepNext w:val="0"/>
              <w:keepLines w:val="0"/>
              <w:pageBreakBefore w:val="0"/>
              <w:widowControl w:val="0"/>
              <w:kinsoku/>
              <w:wordWrap/>
              <w:overflowPunct/>
              <w:topLinePunct w:val="0"/>
              <w:autoSpaceDE/>
              <w:autoSpaceDN/>
              <w:bidi w:val="0"/>
              <w:adjustRightInd/>
              <w:snapToGrid/>
              <w:spacing w:line="400" w:lineRule="exact"/>
              <w:ind w:firstLine="364" w:firstLineChars="150"/>
              <w:textAlignment w:val="auto"/>
              <w:rPr>
                <w:rFonts w:hint="eastAsia" w:ascii="仿宋_GB2312" w:eastAsia="仿宋_GB2312"/>
                <w:sz w:val="24"/>
              </w:rPr>
            </w:pPr>
            <w:r>
              <w:rPr>
                <w:rFonts w:hint="eastAsia" w:ascii="仿宋_GB2312" w:eastAsia="仿宋_GB2312"/>
                <w:sz w:val="24"/>
              </w:rPr>
              <w:t>1、宣传、贯彻党和政府及上级供销社有关农村经济工作的方针、政策、法规和《社章》。2、负责综合分析供销社经济发展状况，研究制定全市供销社的发展战略和规划，指导全市供销社的发展与改革。3、按照政府授权和市场经济的要求，对重要农业生产资料和农副产品、烟花炮竹经营进行组织、协调、管理。4、指导各级供销社的业务活动，促进全市城乡物资交流，建立和完善农业社会化服务体系。5、围绕农业、农村、农民的需要，组织实施以农产品加工为主的社办工业体系建设。6、对市直供销社企业行使经营管理职能，并按照资产保值增值的要求，对社有资产进行监督管理。7、组织全市供销社干部、职工业务培训；检查、指导本系统的队伍建设。8、承办市委、市政府、省供销社交办的其他工作。</w:t>
            </w:r>
          </w:p>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62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5"/>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firstLine="486" w:firstLineChars="200"/>
              <w:textAlignment w:val="auto"/>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任务1：持续深化供销合作社综合改革</w:t>
            </w:r>
          </w:p>
          <w:p>
            <w:pPr>
              <w:pStyle w:val="2"/>
              <w:keepNext w:val="0"/>
              <w:keepLines w:val="0"/>
              <w:pageBreakBefore w:val="0"/>
              <w:widowControl w:val="0"/>
              <w:kinsoku/>
              <w:wordWrap/>
              <w:overflowPunct/>
              <w:topLinePunct w:val="0"/>
              <w:autoSpaceDE/>
              <w:autoSpaceDN/>
              <w:bidi w:val="0"/>
              <w:adjustRightInd/>
              <w:snapToGrid/>
              <w:spacing w:line="400" w:lineRule="exact"/>
              <w:ind w:firstLine="486" w:firstLineChars="200"/>
              <w:textAlignment w:val="auto"/>
              <w:rPr>
                <w:rFonts w:hint="eastAsia"/>
                <w:lang w:val="en-US" w:eastAsia="zh-CN"/>
              </w:rPr>
            </w:pPr>
            <w:r>
              <w:rPr>
                <w:rFonts w:hint="eastAsia" w:ascii="仿宋_GB2312" w:hAnsi="Times New Roman" w:eastAsia="仿宋_GB2312" w:cs="Times New Roman"/>
                <w:kern w:val="2"/>
                <w:sz w:val="24"/>
                <w:szCs w:val="24"/>
                <w:lang w:val="en-US" w:eastAsia="zh-CN" w:bidi="ar-SA"/>
              </w:rPr>
              <w:t>任务2：持续推进消费扶贫工作</w:t>
            </w:r>
          </w:p>
          <w:p>
            <w:pPr>
              <w:keepNext w:val="0"/>
              <w:keepLines w:val="0"/>
              <w:pageBreakBefore w:val="0"/>
              <w:widowControl w:val="0"/>
              <w:kinsoku/>
              <w:wordWrap/>
              <w:overflowPunct/>
              <w:topLinePunct w:val="0"/>
              <w:autoSpaceDE/>
              <w:autoSpaceDN w:val="0"/>
              <w:bidi w:val="0"/>
              <w:adjustRightInd/>
              <w:snapToGrid/>
              <w:spacing w:line="400" w:lineRule="exact"/>
              <w:ind w:firstLine="486" w:firstLineChars="200"/>
              <w:jc w:val="left"/>
              <w:textAlignment w:val="center"/>
              <w:rPr>
                <w:rFonts w:hint="default" w:ascii="仿宋_GB2312" w:hAnsi="仿宋_GB2312" w:eastAsia="仿宋_GB2312" w:cs="仿宋_GB2312"/>
                <w:color w:val="000000"/>
                <w:sz w:val="24"/>
                <w:lang w:val="en-US"/>
              </w:rPr>
            </w:pPr>
            <w:r>
              <w:rPr>
                <w:rFonts w:hint="eastAsia" w:ascii="仿宋_GB2312" w:hAnsi="Times New Roman" w:eastAsia="仿宋_GB2312" w:cs="Times New Roman"/>
                <w:kern w:val="2"/>
                <w:sz w:val="24"/>
                <w:szCs w:val="24"/>
                <w:lang w:val="en-US" w:eastAsia="zh-CN" w:bidi="ar-SA"/>
              </w:rPr>
              <w:t>任务</w:t>
            </w:r>
            <w:r>
              <w:rPr>
                <w:rFonts w:hint="eastAsia" w:ascii="仿宋_GB2312" w:eastAsia="仿宋_GB2312" w:cs="Times New Roman"/>
                <w:kern w:val="2"/>
                <w:sz w:val="24"/>
                <w:szCs w:val="24"/>
                <w:lang w:val="en-US" w:eastAsia="zh-CN" w:bidi="ar-SA"/>
              </w:rPr>
              <w:t>3</w:t>
            </w:r>
            <w:r>
              <w:rPr>
                <w:rFonts w:hint="eastAsia" w:ascii="仿宋_GB2312" w:hAnsi="Times New Roman" w:eastAsia="仿宋_GB2312" w:cs="Times New Roman"/>
                <w:kern w:val="2"/>
                <w:sz w:val="24"/>
                <w:szCs w:val="24"/>
                <w:lang w:val="en-US" w:eastAsia="zh-CN" w:bidi="ar-SA"/>
              </w:rPr>
              <w:t>：</w:t>
            </w:r>
            <w:r>
              <w:rPr>
                <w:rFonts w:hint="eastAsia" w:ascii="仿宋_GB2312" w:eastAsia="仿宋_GB2312" w:cs="Times New Roman"/>
                <w:kern w:val="2"/>
                <w:sz w:val="24"/>
                <w:szCs w:val="24"/>
                <w:lang w:val="en-US" w:eastAsia="zh-CN" w:bidi="ar-SA"/>
              </w:rPr>
              <w:t>推动黄茶产业发展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058"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5"/>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firstLine="486" w:firstLineChars="200"/>
              <w:textAlignment w:val="auto"/>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2020年度部门（单位）总体运行情况及取得的成绩：</w:t>
            </w:r>
          </w:p>
          <w:p>
            <w:pPr>
              <w:pStyle w:val="2"/>
              <w:keepNext w:val="0"/>
              <w:keepLines w:val="0"/>
              <w:pageBreakBefore w:val="0"/>
              <w:widowControl w:val="0"/>
              <w:kinsoku/>
              <w:wordWrap/>
              <w:overflowPunct/>
              <w:topLinePunct w:val="0"/>
              <w:autoSpaceDE/>
              <w:autoSpaceDN/>
              <w:bidi w:val="0"/>
              <w:adjustRightInd/>
              <w:snapToGrid/>
              <w:spacing w:line="400" w:lineRule="exact"/>
              <w:ind w:firstLine="486" w:firstLineChars="200"/>
              <w:textAlignment w:val="auto"/>
              <w:rPr>
                <w:rFonts w:hint="eastAsia" w:ascii="仿宋_GB2312" w:hAnsi="仿宋_GB2312" w:eastAsia="仿宋_GB2312" w:cs="仿宋_GB2312"/>
                <w:b/>
                <w:bCs/>
                <w:color w:val="auto"/>
                <w:sz w:val="24"/>
                <w:lang w:val="en-US" w:eastAsia="zh-CN"/>
              </w:rPr>
            </w:pPr>
            <w:r>
              <w:rPr>
                <w:rFonts w:hint="eastAsia" w:ascii="仿宋_GB2312" w:hAnsi="仿宋_GB2312" w:eastAsia="仿宋_GB2312" w:cs="仿宋_GB2312"/>
                <w:color w:val="auto"/>
                <w:sz w:val="24"/>
                <w:lang w:val="en-US" w:eastAsia="zh-CN"/>
              </w:rPr>
              <w:t>1.持续深化供销社综合改革。2020年4月，国务院副总理胡春华对岳阳供销改革工作给予充分肯定。全国总社党组成员、理事会副主任侯顺利等多位领导点赞“岳阳模式”。</w:t>
            </w:r>
            <w:r>
              <w:rPr>
                <w:rFonts w:hint="default" w:ascii="仿宋_GB2312" w:hAnsi="仿宋_GB2312" w:eastAsia="仿宋_GB2312" w:cs="仿宋_GB2312"/>
                <w:color w:val="auto"/>
                <w:sz w:val="24"/>
                <w:lang w:val="en-US" w:eastAsia="zh-CN"/>
              </w:rPr>
              <w:t>我市</w:t>
            </w:r>
            <w:r>
              <w:rPr>
                <w:rFonts w:hint="eastAsia" w:ascii="仿宋_GB2312" w:hAnsi="仿宋_GB2312" w:eastAsia="仿宋_GB2312" w:cs="仿宋_GB2312"/>
                <w:color w:val="auto"/>
                <w:sz w:val="24"/>
                <w:lang w:val="en-US" w:eastAsia="zh-CN"/>
              </w:rPr>
              <w:t>供销改革入选全国供销总社遴选的19个全国系统典型案例、湖南基层改革探索100例；岳阳新三湘农资有限公司等两家单位入选全国系统金扁担改革贡献奖，汨罗市供销社理事会主任张克昌入选红背篓精神传承奖；平江县社、汨罗市社被全国供销合作总社评为“全国百强县级社，华容县插旗镇供销社等14家基层社被评为“基层社标杆社”。组织召开岳阳市供销合作社第二次代表大会，选举产生新一届领导班子；发起并成立岳阳市农村合作经济组织联合会。全市供销系统托管（流转）土地160余万亩，统防统治420万亩次，无人机植保飞防作业范围不断扩大。全年系统农村电商经营额达42.34亿元。系统信用体系累计推荐贷款1.2亿元。</w:t>
            </w:r>
          </w:p>
          <w:p>
            <w:pPr>
              <w:pStyle w:val="2"/>
              <w:keepNext w:val="0"/>
              <w:keepLines w:val="0"/>
              <w:pageBreakBefore w:val="0"/>
              <w:widowControl w:val="0"/>
              <w:kinsoku/>
              <w:wordWrap/>
              <w:overflowPunct/>
              <w:topLinePunct w:val="0"/>
              <w:autoSpaceDE/>
              <w:autoSpaceDN/>
              <w:bidi w:val="0"/>
              <w:adjustRightInd/>
              <w:snapToGrid/>
              <w:spacing w:line="400" w:lineRule="exact"/>
              <w:ind w:firstLine="486" w:firstLineChars="200"/>
              <w:textAlignment w:val="auto"/>
              <w:rPr>
                <w:rFonts w:hint="eastAsia" w:ascii="仿宋_GB2312" w:hAnsi="仿宋_GB2312" w:eastAsia="仿宋_GB2312" w:cs="仿宋_GB2312"/>
                <w:color w:val="auto"/>
                <w:kern w:val="44"/>
                <w:sz w:val="24"/>
                <w:szCs w:val="24"/>
                <w:lang w:val="en-US" w:eastAsia="zh-CN" w:bidi="ar"/>
              </w:rPr>
            </w:pPr>
            <w:r>
              <w:rPr>
                <w:rFonts w:hint="eastAsia" w:ascii="仿宋_GB2312" w:hAnsi="Times New Roman" w:eastAsia="仿宋_GB2312" w:cs="Times New Roman"/>
                <w:kern w:val="2"/>
                <w:sz w:val="24"/>
                <w:szCs w:val="24"/>
                <w:lang w:val="en-US" w:eastAsia="zh-CN" w:bidi="ar-SA"/>
              </w:rPr>
              <w:t>2.持续推进消费扶贫工作。</w:t>
            </w:r>
            <w:r>
              <w:rPr>
                <w:rFonts w:hint="eastAsia" w:ascii="仿宋_GB2312" w:hAnsi="仿宋_GB2312" w:eastAsia="仿宋_GB2312" w:cs="仿宋_GB2312"/>
                <w:color w:val="auto"/>
                <w:sz w:val="24"/>
                <w:lang w:val="en-US" w:eastAsia="zh-CN"/>
              </w:rPr>
              <w:t>在消费扶贫中出台指导性方案，组织召开全市性大会，</w:t>
            </w:r>
            <w:r>
              <w:rPr>
                <w:rFonts w:hint="default" w:ascii="仿宋_GB2312" w:hAnsi="仿宋_GB2312" w:eastAsia="仿宋_GB2312" w:cs="仿宋_GB2312"/>
                <w:color w:val="auto"/>
                <w:sz w:val="24"/>
                <w:lang w:val="en-US" w:eastAsia="zh-CN"/>
              </w:rPr>
              <w:t>全市</w:t>
            </w:r>
            <w:r>
              <w:rPr>
                <w:rFonts w:hint="eastAsia" w:ascii="仿宋_GB2312" w:hAnsi="仿宋_GB2312" w:eastAsia="仿宋_GB2312" w:cs="仿宋_GB2312"/>
                <w:color w:val="auto"/>
                <w:sz w:val="24"/>
                <w:lang w:val="en-US" w:eastAsia="zh-CN"/>
              </w:rPr>
              <w:t>完成</w:t>
            </w:r>
            <w:r>
              <w:rPr>
                <w:rFonts w:hint="default" w:ascii="仿宋_GB2312" w:hAnsi="仿宋_GB2312" w:eastAsia="仿宋_GB2312" w:cs="仿宋_GB2312"/>
                <w:color w:val="auto"/>
                <w:sz w:val="24"/>
                <w:lang w:val="en-US" w:eastAsia="zh-CN"/>
              </w:rPr>
              <w:t>消费扶贫总额为11.2亿元，</w:t>
            </w:r>
            <w:r>
              <w:rPr>
                <w:rFonts w:hint="eastAsia" w:ascii="仿宋_GB2312" w:hAnsi="仿宋_GB2312" w:eastAsia="仿宋_GB2312" w:cs="仿宋_GB2312"/>
                <w:color w:val="auto"/>
                <w:sz w:val="24"/>
                <w:lang w:val="en-US" w:eastAsia="zh-CN"/>
              </w:rPr>
              <w:t>累计带贫人数24.34万人。</w:t>
            </w:r>
            <w:r>
              <w:rPr>
                <w:rFonts w:hint="default" w:ascii="仿宋_GB2312" w:hAnsi="仿宋_GB2312" w:eastAsia="仿宋_GB2312" w:cs="仿宋_GB2312"/>
                <w:color w:val="auto"/>
                <w:sz w:val="24"/>
                <w:lang w:val="en-US" w:eastAsia="zh-CN"/>
              </w:rPr>
              <w:t>对接落实保靖扶贫产品采购任务</w:t>
            </w:r>
            <w:r>
              <w:rPr>
                <w:rFonts w:hint="eastAsia" w:ascii="仿宋_GB2312" w:hAnsi="仿宋_GB2312" w:eastAsia="仿宋_GB2312" w:cs="仿宋_GB2312"/>
                <w:color w:val="auto"/>
                <w:sz w:val="24"/>
                <w:lang w:val="en-US" w:eastAsia="zh-CN"/>
              </w:rPr>
              <w:t>近400万</w:t>
            </w:r>
            <w:r>
              <w:rPr>
                <w:rFonts w:hint="default" w:ascii="仿宋_GB2312" w:hAnsi="仿宋_GB2312" w:eastAsia="仿宋_GB2312" w:cs="仿宋_GB2312"/>
                <w:color w:val="auto"/>
                <w:sz w:val="24"/>
                <w:lang w:val="en-US" w:eastAsia="zh-CN"/>
              </w:rPr>
              <w:t>元。全市共建成消费扶贫专馆16个</w:t>
            </w:r>
            <w:r>
              <w:rPr>
                <w:rFonts w:hint="eastAsia" w:ascii="仿宋_GB2312" w:hAnsi="仿宋_GB2312" w:eastAsia="仿宋_GB2312" w:cs="仿宋_GB2312"/>
                <w:color w:val="auto"/>
                <w:sz w:val="24"/>
                <w:lang w:val="en-US" w:eastAsia="zh-CN"/>
              </w:rPr>
              <w:t>、</w:t>
            </w:r>
            <w:r>
              <w:rPr>
                <w:rFonts w:hint="default" w:ascii="仿宋_GB2312" w:hAnsi="仿宋_GB2312" w:eastAsia="仿宋_GB2312" w:cs="仿宋_GB2312"/>
                <w:color w:val="auto"/>
                <w:sz w:val="24"/>
                <w:lang w:val="en-US" w:eastAsia="zh-CN"/>
              </w:rPr>
              <w:t>消费扶贫专区61个，安装消费扶贫专柜</w:t>
            </w:r>
            <w:r>
              <w:rPr>
                <w:rFonts w:hint="eastAsia" w:ascii="仿宋_GB2312" w:hAnsi="仿宋_GB2312" w:eastAsia="仿宋_GB2312" w:cs="仿宋_GB2312"/>
                <w:color w:val="auto"/>
                <w:sz w:val="24"/>
                <w:lang w:val="en-US" w:eastAsia="zh-CN"/>
              </w:rPr>
              <w:t>1245</w:t>
            </w:r>
            <w:r>
              <w:rPr>
                <w:rFonts w:hint="default" w:ascii="仿宋_GB2312" w:hAnsi="仿宋_GB2312" w:eastAsia="仿宋_GB2312" w:cs="仿宋_GB2312"/>
                <w:color w:val="auto"/>
                <w:sz w:val="24"/>
                <w:lang w:val="en-US" w:eastAsia="zh-CN"/>
              </w:rPr>
              <w:t>台</w:t>
            </w:r>
            <w:r>
              <w:rPr>
                <w:rFonts w:hint="eastAsia" w:ascii="仿宋_GB2312" w:hAnsi="仿宋_GB2312" w:eastAsia="仿宋_GB2312" w:cs="仿宋_GB2312"/>
                <w:color w:val="auto"/>
                <w:sz w:val="24"/>
                <w:lang w:val="en-US" w:eastAsia="zh-CN"/>
              </w:rPr>
              <w:t>，提供固定性就业岗位3800多个，季节性就业岗位3万多个，岗位人均收入达到1.5－3.5万元，共引导4000多个贫困户入社，帮助15000多人成功脱贫。在驻村联点扶贫中发挥后盾作用，保持了人员不撤、力量不减、支持不变，持续巩固了阪陂村的脱贫成效。</w:t>
            </w:r>
          </w:p>
          <w:p>
            <w:pPr>
              <w:keepNext w:val="0"/>
              <w:keepLines w:val="0"/>
              <w:pageBreakBefore w:val="0"/>
              <w:widowControl w:val="0"/>
              <w:kinsoku/>
              <w:wordWrap/>
              <w:overflowPunct/>
              <w:topLinePunct w:val="0"/>
              <w:autoSpaceDE/>
              <w:autoSpaceDN w:val="0"/>
              <w:bidi w:val="0"/>
              <w:adjustRightInd/>
              <w:snapToGrid/>
              <w:spacing w:line="400" w:lineRule="exact"/>
              <w:ind w:firstLine="486" w:firstLineChars="200"/>
              <w:jc w:val="left"/>
              <w:textAlignment w:val="center"/>
              <w:rPr>
                <w:rFonts w:hint="eastAsia" w:ascii="仿宋_GB2312" w:hAnsi="仿宋_GB2312" w:eastAsia="仿宋_GB2312" w:cs="仿宋_GB2312"/>
                <w:color w:val="auto"/>
                <w:kern w:val="44"/>
                <w:sz w:val="24"/>
                <w:szCs w:val="24"/>
                <w:lang w:val="en-US" w:eastAsia="zh-CN" w:bidi="ar"/>
              </w:rPr>
            </w:pPr>
            <w:r>
              <w:rPr>
                <w:rFonts w:hint="eastAsia" w:ascii="仿宋_GB2312" w:hAnsi="仿宋_GB2312" w:eastAsia="仿宋_GB2312" w:cs="仿宋_GB2312"/>
                <w:color w:val="auto"/>
                <w:kern w:val="44"/>
                <w:sz w:val="24"/>
                <w:szCs w:val="24"/>
                <w:lang w:val="en-US" w:eastAsia="zh-CN" w:bidi="ar"/>
              </w:rPr>
              <w:t>3.推动黄茶产业发展。实施岳阳黄茶“十大”营销活动成效显著。2020</w:t>
            </w:r>
          </w:p>
          <w:p>
            <w:pPr>
              <w:keepNext w:val="0"/>
              <w:keepLines w:val="0"/>
              <w:pageBreakBefore w:val="0"/>
              <w:widowControl w:val="0"/>
              <w:kinsoku/>
              <w:wordWrap/>
              <w:overflowPunct/>
              <w:topLinePunct w:val="0"/>
              <w:autoSpaceDE/>
              <w:autoSpaceDN w:val="0"/>
              <w:bidi w:val="0"/>
              <w:adjustRightInd/>
              <w:snapToGrid/>
              <w:spacing w:line="40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auto"/>
                <w:kern w:val="44"/>
                <w:sz w:val="24"/>
                <w:szCs w:val="24"/>
                <w:lang w:val="en-US" w:eastAsia="zh-CN" w:bidi="ar"/>
              </w:rPr>
              <w:t>年我市茶园面积30.1万亩，全市实际新改扩茶园共计30750亩，茶叶总产量2.84万吨，黄茶产量8670吨，新增黄茶 653吨，完成了2020年市政府下达的黄茶生产加工任务。2020年，以岳阳黄茶为带动的全市茶叶综合产值53亿元，共联结带动了5万农户增收致富，其中贫困户近万人。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市供销社</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834.44</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30.67</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803.72</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75" w:type="dxa"/>
            <w:gridSpan w:val="9"/>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45" w:type="dxa"/>
            <w:gridSpan w:val="4"/>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6"/>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0"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25"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00" w:type="dxa"/>
            <w:gridSpan w:val="3"/>
            <w:vAlign w:val="center"/>
          </w:tcPr>
          <w:p>
            <w:pPr>
              <w:spacing w:line="320" w:lineRule="exact"/>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color w:val="000000"/>
                <w:sz w:val="24"/>
                <w:lang w:val="en-US" w:eastAsia="zh-CN"/>
              </w:rPr>
              <w:t>市供销社</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789.59</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608.92</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551.35</w:t>
            </w:r>
          </w:p>
        </w:tc>
        <w:tc>
          <w:tcPr>
            <w:tcW w:w="2160"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57.57</w:t>
            </w:r>
          </w:p>
        </w:tc>
        <w:tc>
          <w:tcPr>
            <w:tcW w:w="1080" w:type="dxa"/>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180.67</w:t>
            </w:r>
          </w:p>
        </w:tc>
        <w:tc>
          <w:tcPr>
            <w:tcW w:w="720" w:type="dxa"/>
            <w:gridSpan w:val="3"/>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44.85</w:t>
            </w: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3"/>
            <w:vAlign w:val="center"/>
          </w:tcPr>
          <w:p>
            <w:pPr>
              <w:spacing w:line="320" w:lineRule="exact"/>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color w:val="000000"/>
                <w:sz w:val="24"/>
                <w:lang w:val="en-US" w:eastAsia="zh-CN"/>
              </w:rPr>
              <w:t>市供销社</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6.8</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3.88</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2.92</w:t>
            </w:r>
          </w:p>
        </w:tc>
        <w:tc>
          <w:tcPr>
            <w:tcW w:w="2160"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2425"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vAlign w:val="center"/>
          </w:tcPr>
          <w:p>
            <w:pPr>
              <w:spacing w:line="320" w:lineRule="exact"/>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color w:val="000000"/>
                <w:sz w:val="24"/>
                <w:lang w:val="en-US" w:eastAsia="zh-CN"/>
              </w:rPr>
              <w:t>市供销社</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516.02</w:t>
            </w:r>
          </w:p>
        </w:tc>
        <w:tc>
          <w:tcPr>
            <w:tcW w:w="2435"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516.02</w:t>
            </w: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3774" w:type="dxa"/>
            <w:gridSpan w:val="7"/>
            <w:vAlign w:val="center"/>
          </w:tcPr>
          <w:p>
            <w:pPr>
              <w:keepNext w:val="0"/>
              <w:keepLines w:val="0"/>
              <w:pageBreakBefore w:val="0"/>
              <w:widowControl w:val="0"/>
              <w:kinsoku/>
              <w:wordWrap/>
              <w:overflowPunct/>
              <w:topLinePunct w:val="0"/>
              <w:autoSpaceDE/>
              <w:autoSpaceDN w:val="0"/>
              <w:bidi w:val="0"/>
              <w:adjustRightInd/>
              <w:snapToGrid/>
              <w:spacing w:line="40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目标1：</w:t>
            </w:r>
            <w:r>
              <w:rPr>
                <w:rFonts w:hint="eastAsia" w:ascii="仿宋_GB2312" w:hAnsi="仿宋_GB2312" w:eastAsia="仿宋_GB2312" w:cs="仿宋_GB2312"/>
                <w:color w:val="000000"/>
                <w:sz w:val="24"/>
                <w:lang w:val="en-US" w:eastAsia="zh-CN"/>
              </w:rPr>
              <w:t>持续深化推进供销社综合改革</w:t>
            </w:r>
          </w:p>
          <w:p>
            <w:pPr>
              <w:keepNext w:val="0"/>
              <w:keepLines w:val="0"/>
              <w:pageBreakBefore w:val="0"/>
              <w:widowControl w:val="0"/>
              <w:kinsoku/>
              <w:wordWrap/>
              <w:overflowPunct/>
              <w:topLinePunct w:val="0"/>
              <w:autoSpaceDE/>
              <w:autoSpaceDN w:val="0"/>
              <w:bidi w:val="0"/>
              <w:adjustRightInd/>
              <w:snapToGrid/>
              <w:spacing w:line="40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目标2：</w:t>
            </w:r>
            <w:r>
              <w:rPr>
                <w:rFonts w:hint="eastAsia" w:ascii="仿宋_GB2312" w:hAnsi="仿宋_GB2312" w:eastAsia="仿宋_GB2312" w:cs="仿宋_GB2312"/>
                <w:color w:val="000000"/>
                <w:sz w:val="24"/>
                <w:lang w:val="en-US" w:eastAsia="zh-CN"/>
              </w:rPr>
              <w:t>持续推进消费扶贫工作</w:t>
            </w:r>
          </w:p>
          <w:p>
            <w:pPr>
              <w:keepNext w:val="0"/>
              <w:keepLines w:val="0"/>
              <w:pageBreakBefore w:val="0"/>
              <w:widowControl w:val="0"/>
              <w:kinsoku/>
              <w:wordWrap/>
              <w:overflowPunct/>
              <w:topLinePunct w:val="0"/>
              <w:autoSpaceDE/>
              <w:autoSpaceDN w:val="0"/>
              <w:bidi w:val="0"/>
              <w:adjustRightInd/>
              <w:snapToGrid/>
              <w:spacing w:line="40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目标3：</w:t>
            </w:r>
            <w:r>
              <w:rPr>
                <w:rFonts w:hint="eastAsia" w:ascii="仿宋_GB2312" w:hAnsi="仿宋_GB2312" w:eastAsia="仿宋_GB2312" w:cs="仿宋_GB2312"/>
                <w:color w:val="000000"/>
                <w:sz w:val="24"/>
                <w:lang w:val="en-US" w:eastAsia="zh-CN"/>
              </w:rPr>
              <w:t>保障农资供应充足、价格平稳</w:t>
            </w:r>
          </w:p>
        </w:tc>
        <w:tc>
          <w:tcPr>
            <w:tcW w:w="4585" w:type="dxa"/>
            <w:gridSpan w:val="9"/>
            <w:vAlign w:val="center"/>
          </w:tcPr>
          <w:p>
            <w:pPr>
              <w:keepNext w:val="0"/>
              <w:keepLines w:val="0"/>
              <w:pageBreakBefore w:val="0"/>
              <w:widowControl w:val="0"/>
              <w:kinsoku/>
              <w:wordWrap/>
              <w:overflowPunct/>
              <w:topLinePunct w:val="0"/>
              <w:autoSpaceDE/>
              <w:autoSpaceDN w:val="0"/>
              <w:bidi w:val="0"/>
              <w:adjustRightInd/>
              <w:snapToGrid/>
              <w:spacing w:line="40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1.2020年4月，国务院副总理胡春华来岳阳调研春耕生产时，对岳阳供销改革工作给予充分肯定。全国总社党组成员、理事会副主任侯顺利等多位领导莅临岳阳调研，点赞“岳阳模式”。</w:t>
            </w:r>
          </w:p>
          <w:p>
            <w:pPr>
              <w:keepNext w:val="0"/>
              <w:keepLines w:val="0"/>
              <w:pageBreakBefore w:val="0"/>
              <w:widowControl w:val="0"/>
              <w:numPr>
                <w:ilvl w:val="0"/>
                <w:numId w:val="3"/>
              </w:numPr>
              <w:kinsoku/>
              <w:wordWrap/>
              <w:overflowPunct/>
              <w:topLinePunct w:val="0"/>
              <w:autoSpaceDE/>
              <w:autoSpaceDN w:val="0"/>
              <w:bidi w:val="0"/>
              <w:adjustRightInd/>
              <w:snapToGrid/>
              <w:spacing w:line="40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通过岳阳市供销电子商务有限公司运营的“岳阳消费扶贫网”，在全市扶贫产品组织上行中发挥了引领作用，架起了农村贫困户、扶贫产品与城市居民、市场的桥梁，帮助农户增加收益。</w:t>
            </w:r>
          </w:p>
          <w:p>
            <w:pPr>
              <w:keepNext w:val="0"/>
              <w:keepLines w:val="0"/>
              <w:pageBreakBefore w:val="0"/>
              <w:widowControl w:val="0"/>
              <w:kinsoku/>
              <w:wordWrap/>
              <w:overflowPunct/>
              <w:topLinePunct w:val="0"/>
              <w:autoSpaceDE/>
              <w:autoSpaceDN w:val="0"/>
              <w:bidi w:val="0"/>
              <w:adjustRightInd/>
              <w:snapToGrid/>
              <w:spacing w:line="40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3.以岳阳惠农供销农业服务有限公司为依托，不断恢复农资供应主渠道地位，市场占有率持续增加，在防疫保耕中发挥了积极作用，社会效益明显加强。</w:t>
            </w:r>
          </w:p>
          <w:p>
            <w:pPr>
              <w:pStyle w:val="4"/>
              <w:keepNext w:val="0"/>
              <w:keepLines w:val="0"/>
              <w:pageBreakBefore w:val="0"/>
              <w:widowControl w:val="0"/>
              <w:numPr>
                <w:ilvl w:val="0"/>
                <w:numId w:val="0"/>
              </w:numPr>
              <w:kinsoku/>
              <w:wordWrap/>
              <w:overflowPunct/>
              <w:topLinePunct w:val="0"/>
              <w:autoSpaceDE/>
              <w:bidi w:val="0"/>
              <w:adjustRightInd/>
              <w:snapToGrid/>
              <w:spacing w:line="400" w:lineRule="exact"/>
              <w:rPr>
                <w:rFonts w:hint="eastAsia"/>
                <w:lang w:val="en-US" w:eastAsia="zh-CN"/>
              </w:rPr>
            </w:pPr>
          </w:p>
          <w:p>
            <w:pPr>
              <w:pStyle w:val="4"/>
              <w:rPr>
                <w:rFonts w:hint="default"/>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3"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4"/>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ascii="仿宋_GB2312" w:hAnsi="仿宋_GB2312" w:eastAsia="仿宋_GB2312" w:cs="仿宋_GB2312"/>
                <w:color w:val="000000"/>
                <w:sz w:val="24"/>
              </w:rPr>
              <w:t>1.</w:t>
            </w:r>
            <w:r>
              <w:rPr>
                <w:rFonts w:hint="eastAsia" w:ascii="仿宋_GB2312" w:hAnsi="仿宋_GB2312" w:eastAsia="仿宋_GB2312" w:cs="仿宋_GB2312"/>
                <w:color w:val="000000"/>
                <w:sz w:val="24"/>
              </w:rPr>
              <w:t>全国基层社标杆社</w:t>
            </w:r>
            <w:r>
              <w:rPr>
                <w:rFonts w:hint="eastAsia" w:ascii="仿宋_GB2312" w:hAnsi="仿宋_GB2312" w:eastAsia="仿宋_GB2312" w:cs="仿宋_GB2312"/>
                <w:color w:val="000000"/>
                <w:sz w:val="24"/>
                <w:lang w:val="en-US" w:eastAsia="zh-CN"/>
              </w:rPr>
              <w:t>通过相关部门合格验收</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lang w:val="en-US" w:eastAsia="zh-CN"/>
              </w:rPr>
              <w:t>已</w:t>
            </w:r>
            <w:r>
              <w:rPr>
                <w:rFonts w:hint="eastAsia" w:ascii="仿宋_GB2312" w:hAnsi="仿宋_GB2312" w:eastAsia="仿宋_GB2312" w:cs="仿宋_GB2312"/>
                <w:color w:val="000000"/>
                <w:sz w:val="24"/>
              </w:rPr>
              <w:t>达到全国总社基层社标杆社的评定标准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2</w:t>
            </w:r>
            <w:r>
              <w:rPr>
                <w:rFonts w:hint="eastAsia" w:ascii="仿宋_GB2312" w:hAnsi="仿宋_GB2312" w:eastAsia="仿宋_GB2312" w:cs="仿宋_GB2312"/>
                <w:color w:val="000000"/>
                <w:sz w:val="24"/>
              </w:rPr>
              <w:t>、市级电子商务平台建成验收</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已正式运营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ascii="仿宋_GB2312" w:hAnsi="仿宋_GB2312" w:eastAsia="仿宋_GB2312" w:cs="仿宋_GB2312"/>
                <w:color w:val="000000"/>
                <w:sz w:val="24"/>
              </w:rPr>
              <w:t>3</w:t>
            </w:r>
            <w:r>
              <w:rPr>
                <w:rFonts w:hint="eastAsia" w:ascii="仿宋_GB2312" w:hAnsi="仿宋_GB2312" w:eastAsia="仿宋_GB2312" w:cs="仿宋_GB2312"/>
                <w:color w:val="000000"/>
                <w:sz w:val="24"/>
              </w:rPr>
              <w:t>、土地托管</w:t>
            </w:r>
            <w:r>
              <w:rPr>
                <w:rFonts w:hint="eastAsia" w:ascii="仿宋_GB2312" w:hAnsi="仿宋_GB2312" w:eastAsia="仿宋_GB2312" w:cs="仿宋_GB2312"/>
                <w:color w:val="000000"/>
                <w:sz w:val="24"/>
                <w:lang w:val="en-US" w:eastAsia="zh-CN"/>
              </w:rPr>
              <w:t>后，合作社通过综合性的农业服务，种粮成本降低</w:t>
            </w:r>
          </w:p>
        </w:tc>
        <w:tc>
          <w:tcPr>
            <w:tcW w:w="2684" w:type="dxa"/>
            <w:gridSpan w:val="6"/>
            <w:vAlign w:val="center"/>
          </w:tcPr>
          <w:p>
            <w:pPr>
              <w:autoSpaceDN w:val="0"/>
              <w:spacing w:line="320" w:lineRule="exact"/>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农民土地进行托管后，</w:t>
            </w:r>
            <w:r>
              <w:rPr>
                <w:rFonts w:hint="eastAsia" w:ascii="仿宋_GB2312" w:hAnsi="仿宋_GB2312" w:eastAsia="仿宋_GB2312" w:cs="仿宋_GB2312"/>
                <w:color w:val="000000"/>
                <w:sz w:val="24"/>
                <w:lang w:val="en-US" w:eastAsia="zh-CN"/>
              </w:rPr>
              <w:t>种粮成本降低，解放了劳动力，同时增加了</w:t>
            </w:r>
            <w:r>
              <w:rPr>
                <w:rFonts w:hint="eastAsia" w:ascii="仿宋_GB2312" w:hAnsi="仿宋_GB2312" w:eastAsia="仿宋_GB2312" w:cs="仿宋_GB2312"/>
                <w:color w:val="000000"/>
                <w:sz w:val="24"/>
              </w:rPr>
              <w:t>农民收入。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color w:val="000000"/>
                <w:sz w:val="24"/>
              </w:rPr>
            </w:pPr>
          </w:p>
        </w:tc>
        <w:tc>
          <w:tcPr>
            <w:tcW w:w="2709" w:type="dxa"/>
            <w:gridSpan w:val="4"/>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ascii="仿宋_GB2312" w:hAnsi="仿宋_GB2312" w:eastAsia="仿宋_GB2312" w:cs="仿宋_GB2312"/>
                <w:color w:val="000000"/>
                <w:sz w:val="24"/>
              </w:rPr>
              <w:t>4</w:t>
            </w:r>
            <w:r>
              <w:rPr>
                <w:rFonts w:hint="eastAsia" w:ascii="仿宋_GB2312" w:hAnsi="仿宋_GB2312" w:eastAsia="仿宋_GB2312" w:cs="仿宋_GB2312"/>
                <w:color w:val="000000"/>
                <w:sz w:val="24"/>
              </w:rPr>
              <w:t>、乡镇惠农服务中心和村级惠农综合服务社</w:t>
            </w:r>
            <w:r>
              <w:rPr>
                <w:rFonts w:hint="eastAsia" w:ascii="仿宋_GB2312" w:hAnsi="仿宋_GB2312" w:eastAsia="仿宋_GB2312" w:cs="仿宋_GB2312"/>
                <w:color w:val="000000"/>
                <w:sz w:val="24"/>
                <w:lang w:val="en-US" w:eastAsia="zh-CN"/>
              </w:rPr>
              <w:t>方便群众，为农民带来实惠，群众满意度较高。</w:t>
            </w:r>
          </w:p>
        </w:tc>
        <w:tc>
          <w:tcPr>
            <w:tcW w:w="2684" w:type="dxa"/>
            <w:gridSpan w:val="6"/>
            <w:vAlign w:val="center"/>
          </w:tcPr>
          <w:p>
            <w:pPr>
              <w:autoSpaceDN w:val="0"/>
              <w:spacing w:line="320" w:lineRule="exact"/>
              <w:textAlignment w:val="center"/>
              <w:rPr>
                <w:rFonts w:hint="default" w:ascii="仿宋_GB2312" w:hAnsi="仿宋_GB2312" w:eastAsia="仿宋_GB2312" w:cs="仿宋_GB2312"/>
                <w:b/>
                <w:color w:val="000000"/>
                <w:sz w:val="24"/>
                <w:lang w:val="en-US" w:eastAsia="zh-CN"/>
              </w:rPr>
            </w:pPr>
            <w:r>
              <w:rPr>
                <w:rFonts w:hint="eastAsia" w:ascii="仿宋_GB2312" w:hAnsi="仿宋_GB2312" w:eastAsia="仿宋_GB2312" w:cs="仿宋_GB2312"/>
                <w:color w:val="000000"/>
                <w:sz w:val="24"/>
                <w:lang w:val="en-US" w:eastAsia="zh-CN"/>
              </w:rPr>
              <w:t>乡镇惠农服务中心和村级惠农综合服务社</w:t>
            </w:r>
            <w:r>
              <w:rPr>
                <w:rFonts w:hint="eastAsia" w:ascii="仿宋_GB2312" w:hAnsi="仿宋_GB2312" w:eastAsia="仿宋_GB2312" w:cs="仿宋_GB2312"/>
                <w:color w:val="000000"/>
                <w:sz w:val="24"/>
              </w:rPr>
              <w:t>成为服务农民生产生活“最后一公里”的综合性平台</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lang w:val="en-US" w:eastAsia="zh-CN"/>
              </w:rPr>
              <w:t>群众满意度高。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5</w:t>
            </w:r>
            <w:r>
              <w:rPr>
                <w:rFonts w:hint="eastAsia" w:ascii="仿宋_GB2312" w:hAnsi="仿宋_GB2312" w:eastAsia="仿宋_GB2312" w:cs="仿宋_GB2312"/>
                <w:color w:val="000000"/>
                <w:sz w:val="24"/>
              </w:rPr>
              <w:t>、优化干部职工队伍</w:t>
            </w:r>
          </w:p>
        </w:tc>
        <w:tc>
          <w:tcPr>
            <w:tcW w:w="2684" w:type="dxa"/>
            <w:gridSpan w:val="6"/>
            <w:vAlign w:val="center"/>
          </w:tcPr>
          <w:p>
            <w:pPr>
              <w:autoSpaceDN w:val="0"/>
              <w:spacing w:line="320" w:lineRule="exact"/>
              <w:jc w:val="center"/>
              <w:textAlignment w:val="center"/>
              <w:rPr>
                <w:rFonts w:hint="default" w:ascii="仿宋_GB2312" w:hAnsi="仿宋_GB2312" w:eastAsia="仿宋_GB2312" w:cs="仿宋_GB2312"/>
                <w:b/>
                <w:color w:val="000000"/>
                <w:sz w:val="24"/>
                <w:lang w:val="en-US" w:eastAsia="zh-CN"/>
              </w:rPr>
            </w:pPr>
            <w:r>
              <w:rPr>
                <w:rFonts w:hint="eastAsia" w:ascii="仿宋_GB2312" w:hAnsi="仿宋_GB2312" w:eastAsia="仿宋_GB2312" w:cs="仿宋_GB2312"/>
                <w:color w:val="000000"/>
                <w:sz w:val="24"/>
                <w:lang w:val="en-US" w:eastAsia="zh-CN"/>
              </w:rPr>
              <w:t>干部选举中无违规、违法、出现负面舆情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color w:val="000000"/>
                <w:sz w:val="24"/>
              </w:rPr>
              <w:t>数量指标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1</w:t>
            </w:r>
            <w:r>
              <w:rPr>
                <w:rFonts w:hint="eastAsia" w:ascii="仿宋_GB2312" w:hAnsi="仿宋_GB2312" w:eastAsia="仿宋_GB2312" w:cs="仿宋_GB2312"/>
                <w:color w:val="000000"/>
                <w:sz w:val="24"/>
              </w:rPr>
              <w:t>、创建</w:t>
            </w: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rPr>
              <w:t>个全国基层社标杆社</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09" w:type="dxa"/>
            <w:gridSpan w:val="4"/>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ascii="仿宋_GB2312" w:hAnsi="仿宋_GB2312" w:eastAsia="仿宋_GB2312" w:cs="仿宋_GB2312"/>
                <w:color w:val="000000"/>
                <w:sz w:val="24"/>
              </w:rPr>
              <w:t>2</w:t>
            </w:r>
            <w:r>
              <w:rPr>
                <w:rFonts w:hint="eastAsia" w:ascii="仿宋_GB2312" w:hAnsi="仿宋_GB2312" w:eastAsia="仿宋_GB2312" w:cs="仿宋_GB2312"/>
                <w:color w:val="000000"/>
                <w:sz w:val="24"/>
              </w:rPr>
              <w:t>、牵头开展的土地托管</w:t>
            </w:r>
            <w:r>
              <w:rPr>
                <w:rFonts w:hint="eastAsia" w:ascii="仿宋_GB2312" w:hAnsi="仿宋_GB2312" w:eastAsia="仿宋_GB2312" w:cs="仿宋_GB2312"/>
                <w:color w:val="000000"/>
                <w:sz w:val="24"/>
                <w:lang w:val="en-US" w:eastAsia="zh-CN"/>
              </w:rPr>
              <w:t>面积达到150万亩</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土地托管达到</w:t>
            </w:r>
            <w:r>
              <w:rPr>
                <w:rFonts w:ascii="仿宋_GB2312" w:hAnsi="仿宋_GB2312" w:eastAsia="仿宋_GB2312" w:cs="仿宋_GB2312"/>
                <w:color w:val="000000"/>
                <w:sz w:val="24"/>
              </w:rPr>
              <w:t>160</w:t>
            </w:r>
            <w:r>
              <w:rPr>
                <w:rFonts w:hint="eastAsia" w:ascii="仿宋_GB2312" w:hAnsi="仿宋_GB2312" w:eastAsia="仿宋_GB2312" w:cs="仿宋_GB2312"/>
                <w:color w:val="000000"/>
                <w:sz w:val="24"/>
              </w:rPr>
              <w:t>万亩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09" w:type="dxa"/>
            <w:gridSpan w:val="4"/>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ascii="仿宋_GB2312" w:hAnsi="仿宋_GB2312" w:eastAsia="仿宋_GB2312" w:cs="仿宋_GB2312"/>
                <w:color w:val="000000"/>
                <w:sz w:val="24"/>
              </w:rPr>
              <w:t>3</w:t>
            </w:r>
            <w:r>
              <w:rPr>
                <w:rFonts w:hint="eastAsia" w:ascii="仿宋_GB2312" w:hAnsi="仿宋_GB2312" w:eastAsia="仿宋_GB2312" w:cs="仿宋_GB2312"/>
                <w:color w:val="000000"/>
                <w:sz w:val="24"/>
              </w:rPr>
              <w:t>、乡镇惠农服务中心和村级惠农综合服务社</w:t>
            </w:r>
            <w:r>
              <w:rPr>
                <w:rFonts w:hint="eastAsia" w:ascii="仿宋_GB2312" w:hAnsi="仿宋_GB2312" w:eastAsia="仿宋_GB2312" w:cs="仿宋_GB2312"/>
                <w:color w:val="000000"/>
                <w:sz w:val="24"/>
                <w:lang w:val="en-US" w:eastAsia="zh-CN"/>
              </w:rPr>
              <w:t>100%建成</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sz w:val="24"/>
                <w:lang w:eastAsia="zh-CN"/>
              </w:rPr>
            </w:pPr>
            <w:r>
              <w:rPr>
                <w:rFonts w:hint="eastAsia" w:ascii="仿宋_GB2312" w:hAnsi="仿宋_GB2312" w:eastAsia="仿宋_GB2312" w:cs="仿宋_GB2312"/>
                <w:color w:val="000000"/>
                <w:sz w:val="24"/>
                <w:lang w:val="en-US"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63"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4</w:t>
            </w:r>
            <w:r>
              <w:rPr>
                <w:rFonts w:hint="eastAsia" w:ascii="仿宋_GB2312" w:hAnsi="仿宋_GB2312" w:eastAsia="仿宋_GB2312" w:cs="仿宋_GB2312"/>
                <w:color w:val="000000"/>
                <w:sz w:val="24"/>
              </w:rPr>
              <w:t>、打造</w:t>
            </w:r>
            <w:r>
              <w:rPr>
                <w:rFonts w:hint="eastAsia" w:ascii="仿宋_GB2312" w:hAnsi="仿宋_GB2312" w:eastAsia="仿宋_GB2312" w:cs="仿宋_GB2312"/>
                <w:color w:val="000000"/>
                <w:sz w:val="24"/>
                <w:lang w:val="en-US" w:eastAsia="zh-CN"/>
              </w:rPr>
              <w:t>1个</w:t>
            </w:r>
            <w:r>
              <w:rPr>
                <w:rFonts w:hint="eastAsia" w:ascii="仿宋_GB2312" w:hAnsi="仿宋_GB2312" w:eastAsia="仿宋_GB2312" w:cs="仿宋_GB2312"/>
                <w:color w:val="000000"/>
                <w:sz w:val="24"/>
              </w:rPr>
              <w:t>实体运行、效益明显、特色突出的市级电子商务平台</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4"/>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2020年底按计划完成任务</w:t>
            </w:r>
          </w:p>
        </w:tc>
        <w:tc>
          <w:tcPr>
            <w:tcW w:w="2684" w:type="dxa"/>
            <w:gridSpan w:val="6"/>
            <w:vAlign w:val="center"/>
          </w:tcPr>
          <w:p>
            <w:pPr>
              <w:autoSpaceDN w:val="0"/>
              <w:spacing w:line="320" w:lineRule="exact"/>
              <w:jc w:val="center"/>
              <w:textAlignment w:val="center"/>
              <w:rPr>
                <w:rFonts w:hint="default" w:ascii="仿宋_GB2312" w:hAnsi="仿宋_GB2312" w:eastAsia="仿宋_GB2312" w:cs="仿宋_GB2312"/>
                <w:b/>
                <w:color w:val="000000"/>
                <w:sz w:val="24"/>
                <w:lang w:val="en-US" w:eastAsia="zh-CN"/>
              </w:rPr>
            </w:pPr>
            <w:r>
              <w:rPr>
                <w:rFonts w:hint="eastAsia" w:ascii="仿宋_GB2312" w:hAnsi="仿宋_GB2312" w:eastAsia="仿宋_GB2312" w:cs="仿宋_GB2312"/>
                <w:color w:val="000000"/>
                <w:sz w:val="24"/>
                <w:lang w:val="en-US" w:eastAsia="zh-CN"/>
              </w:rPr>
              <w:t>2020年已完成任务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color w:val="000000"/>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4"/>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完成任务支出不超过预算批复金额</w:t>
            </w:r>
          </w:p>
        </w:tc>
        <w:tc>
          <w:tcPr>
            <w:tcW w:w="2684" w:type="dxa"/>
            <w:gridSpan w:val="6"/>
            <w:vAlign w:val="center"/>
          </w:tcPr>
          <w:p>
            <w:pPr>
              <w:autoSpaceDN w:val="0"/>
              <w:spacing w:line="320" w:lineRule="exact"/>
              <w:jc w:val="center"/>
              <w:textAlignment w:val="center"/>
              <w:rPr>
                <w:rFonts w:hint="default" w:ascii="仿宋_GB2312" w:hAnsi="仿宋_GB2312" w:eastAsia="仿宋_GB2312" w:cs="仿宋_GB2312"/>
                <w:b/>
                <w:color w:val="000000"/>
                <w:sz w:val="24"/>
                <w:lang w:val="en-US" w:eastAsia="zh-CN"/>
              </w:rPr>
            </w:pPr>
            <w:r>
              <w:rPr>
                <w:rFonts w:hint="eastAsia" w:ascii="仿宋_GB2312" w:hAnsi="仿宋_GB2312" w:eastAsia="仿宋_GB2312" w:cs="仿宋_GB2312"/>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949"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color w:val="000000"/>
                <w:sz w:val="24"/>
              </w:rPr>
              <w:t>（预期实现的效益）</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农资经营惠及全市农民群众，为老百姓生活提供便利。</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p>
          <w:p>
            <w:pPr>
              <w:autoSpaceDN w:val="0"/>
              <w:spacing w:line="320" w:lineRule="exac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利用供销农资网络体系，对农民所需农资等保质保供，为农民生产生活提供便利，推动乡村振兴中贡献了供销力量。</w:t>
            </w:r>
          </w:p>
          <w:p>
            <w:pPr>
              <w:autoSpaceDN w:val="0"/>
              <w:spacing w:line="320" w:lineRule="exact"/>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365" w:hRule="atLeast"/>
          <w:jc w:val="center"/>
        </w:trPr>
        <w:tc>
          <w:tcPr>
            <w:tcW w:w="1441" w:type="dxa"/>
            <w:vMerge w:val="continue"/>
            <w:vAlign w:val="center"/>
          </w:tcPr>
          <w:p>
            <w:pPr>
              <w:spacing w:line="320" w:lineRule="exact"/>
              <w:rPr>
                <w:rFonts w:ascii="仿宋_GB2312" w:hAnsi="仿宋_GB2312" w:eastAsia="仿宋_GB2312" w:cs="仿宋_GB2312"/>
                <w:color w:val="000000"/>
                <w:sz w:val="24"/>
              </w:rPr>
            </w:pPr>
          </w:p>
        </w:tc>
        <w:tc>
          <w:tcPr>
            <w:tcW w:w="1549" w:type="dxa"/>
            <w:gridSpan w:val="4"/>
            <w:vMerge w:val="continue"/>
            <w:vAlign w:val="center"/>
          </w:tcPr>
          <w:p>
            <w:pPr>
              <w:autoSpaceDN w:val="0"/>
              <w:spacing w:line="320" w:lineRule="exact"/>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09" w:type="dxa"/>
            <w:gridSpan w:val="4"/>
            <w:vAlign w:val="center"/>
          </w:tcPr>
          <w:p>
            <w:pPr>
              <w:autoSpaceDN w:val="0"/>
              <w:spacing w:line="320" w:lineRule="exact"/>
              <w:jc w:val="left"/>
              <w:textAlignment w:val="center"/>
            </w:pPr>
            <w:r>
              <w:rPr>
                <w:rFonts w:hint="eastAsia" w:ascii="仿宋_GB2312" w:hAnsi="仿宋_GB2312" w:eastAsia="仿宋_GB2312" w:cs="仿宋_GB2312"/>
                <w:color w:val="000000"/>
                <w:sz w:val="24"/>
              </w:rPr>
              <w:t>全市经营服务网络体系基本建成、土地托管、黄茶产业建设，为农业生产降低成本，为农村、农民增收、增效发挥更大的作用</w:t>
            </w:r>
          </w:p>
        </w:tc>
        <w:tc>
          <w:tcPr>
            <w:tcW w:w="2684" w:type="dxa"/>
            <w:gridSpan w:val="6"/>
            <w:vAlign w:val="center"/>
          </w:tcPr>
          <w:p>
            <w:pPr>
              <w:autoSpaceDN w:val="0"/>
              <w:spacing w:line="320" w:lineRule="exact"/>
              <w:jc w:val="center"/>
              <w:textAlignment w:val="center"/>
            </w:pPr>
            <w:r>
              <w:rPr>
                <w:rFonts w:hint="eastAsia" w:ascii="仿宋_GB2312" w:hAnsi="仿宋_GB2312" w:eastAsia="仿宋_GB2312" w:cs="仿宋_GB2312"/>
                <w:color w:val="000000"/>
                <w:sz w:val="24"/>
              </w:rPr>
              <w:t>利用全市供销系统经营服务网络，开展土地托管等农业社会化服务，给农民降低生产成本，增加收益。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continue"/>
            <w:vAlign w:val="center"/>
          </w:tcPr>
          <w:p>
            <w:pPr>
              <w:spacing w:line="320" w:lineRule="exact"/>
              <w:rPr>
                <w:rFonts w:ascii="仿宋_GB2312" w:hAnsi="仿宋_GB2312" w:eastAsia="仿宋_GB2312" w:cs="仿宋_GB2312"/>
                <w:color w:val="000000"/>
                <w:sz w:val="24"/>
              </w:rPr>
            </w:pPr>
          </w:p>
        </w:tc>
        <w:tc>
          <w:tcPr>
            <w:tcW w:w="1549" w:type="dxa"/>
            <w:gridSpan w:val="4"/>
            <w:vMerge w:val="continue"/>
            <w:vAlign w:val="center"/>
          </w:tcPr>
          <w:p>
            <w:pPr>
              <w:autoSpaceDN w:val="0"/>
              <w:spacing w:line="320" w:lineRule="exact"/>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4"/>
            <w:vAlign w:val="center"/>
          </w:tcPr>
          <w:p>
            <w:pPr>
              <w:autoSpaceDN w:val="0"/>
              <w:spacing w:line="320" w:lineRule="exact"/>
              <w:jc w:val="left"/>
              <w:textAlignment w:val="center"/>
            </w:pPr>
            <w:r>
              <w:rPr>
                <w:rFonts w:hint="eastAsia" w:ascii="仿宋_GB2312" w:hAnsi="仿宋_GB2312" w:eastAsia="仿宋_GB2312" w:cs="仿宋_GB2312"/>
                <w:color w:val="000000"/>
                <w:sz w:val="24"/>
              </w:rPr>
              <w:t>无明显环境效益</w:t>
            </w:r>
          </w:p>
        </w:tc>
        <w:tc>
          <w:tcPr>
            <w:tcW w:w="2684" w:type="dxa"/>
            <w:gridSpan w:val="6"/>
            <w:vAlign w:val="center"/>
          </w:tcPr>
          <w:p>
            <w:pPr>
              <w:autoSpaceDN w:val="0"/>
              <w:spacing w:line="320" w:lineRule="exact"/>
              <w:jc w:val="center"/>
              <w:textAlignment w:val="center"/>
            </w:pPr>
            <w:r>
              <w:rPr>
                <w:rFonts w:hint="eastAsia" w:ascii="仿宋_GB2312" w:hAnsi="仿宋_GB2312" w:eastAsia="仿宋_GB2312" w:cs="仿宋_GB2312"/>
                <w:color w:val="000000"/>
                <w:sz w:val="24"/>
              </w:rPr>
              <w:t>无明显环境效益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Align w:val="center"/>
          </w:tcPr>
          <w:p>
            <w:pPr>
              <w:spacing w:line="320" w:lineRule="exact"/>
              <w:rPr>
                <w:rFonts w:ascii="仿宋_GB2312" w:hAnsi="仿宋_GB2312" w:eastAsia="仿宋_GB2312" w:cs="仿宋_GB2312"/>
                <w:color w:val="000000"/>
                <w:sz w:val="24"/>
              </w:rPr>
            </w:pPr>
          </w:p>
        </w:tc>
        <w:tc>
          <w:tcPr>
            <w:tcW w:w="1549" w:type="dxa"/>
            <w:gridSpan w:val="4"/>
            <w:vMerge w:val="continue"/>
            <w:vAlign w:val="center"/>
          </w:tcPr>
          <w:p>
            <w:pPr>
              <w:autoSpaceDN w:val="0"/>
              <w:spacing w:line="320" w:lineRule="exact"/>
            </w:pPr>
          </w:p>
        </w:tc>
        <w:tc>
          <w:tcPr>
            <w:tcW w:w="1417"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服务对象满意度</w:t>
            </w: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问卷调查群众满意度≥95%</w:t>
            </w:r>
          </w:p>
        </w:tc>
        <w:tc>
          <w:tcPr>
            <w:tcW w:w="2684" w:type="dxa"/>
            <w:gridSpan w:val="6"/>
            <w:vAlign w:val="center"/>
          </w:tcPr>
          <w:p>
            <w:pPr>
              <w:autoSpaceDN w:val="0"/>
              <w:spacing w:line="320" w:lineRule="exact"/>
              <w:jc w:val="center"/>
              <w:textAlignment w:val="center"/>
            </w:pPr>
            <w:r>
              <w:rPr>
                <w:rFonts w:hint="eastAsia" w:ascii="仿宋_GB2312" w:hAnsi="仿宋_GB2312" w:eastAsia="仿宋_GB2312" w:cs="仿宋_GB2312"/>
                <w:color w:val="000000"/>
                <w:sz w:val="24"/>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left"/>
              <w:textAlignment w:val="center"/>
            </w:pPr>
            <w:r>
              <w:rPr>
                <w:rFonts w:hint="eastAsia" w:ascii="仿宋_GB2312" w:hAnsi="仿宋_GB2312" w:eastAsia="仿宋_GB2312" w:cs="仿宋_GB2312"/>
                <w:color w:val="000000"/>
                <w:sz w:val="24"/>
              </w:rPr>
              <w:t>绩效自评综合得分</w:t>
            </w:r>
          </w:p>
        </w:tc>
        <w:tc>
          <w:tcPr>
            <w:tcW w:w="6810" w:type="dxa"/>
            <w:gridSpan w:val="1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left"/>
              <w:textAlignment w:val="center"/>
            </w:pPr>
            <w:r>
              <w:rPr>
                <w:rFonts w:hint="eastAsia" w:ascii="仿宋_GB2312" w:hAnsi="仿宋_GB2312" w:eastAsia="仿宋_GB2312" w:cs="仿宋_GB2312"/>
                <w:color w:val="000000"/>
                <w:sz w:val="24"/>
              </w:rPr>
              <w:t>评价等次</w:t>
            </w:r>
          </w:p>
        </w:tc>
        <w:tc>
          <w:tcPr>
            <w:tcW w:w="6810" w:type="dxa"/>
            <w:gridSpan w:val="1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20"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44" w:hRule="atLeast"/>
          <w:jc w:val="center"/>
        </w:trPr>
        <w:tc>
          <w:tcPr>
            <w:tcW w:w="1654" w:type="dxa"/>
            <w:gridSpan w:val="2"/>
            <w:vAlign w:val="center"/>
          </w:tcPr>
          <w:p>
            <w:pPr>
              <w:autoSpaceDN w:val="0"/>
              <w:spacing w:line="240" w:lineRule="auto"/>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6"/>
            <w:vAlign w:val="center"/>
          </w:tcPr>
          <w:p>
            <w:pPr>
              <w:autoSpaceDN w:val="0"/>
              <w:spacing w:line="240" w:lineRule="auto"/>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vAlign w:val="center"/>
          </w:tcPr>
          <w:p>
            <w:pPr>
              <w:autoSpaceDN w:val="0"/>
              <w:spacing w:line="240" w:lineRule="auto"/>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106" w:type="dxa"/>
            <w:gridSpan w:val="8"/>
            <w:vAlign w:val="center"/>
          </w:tcPr>
          <w:p>
            <w:pPr>
              <w:autoSpaceDN w:val="0"/>
              <w:spacing w:line="240" w:lineRule="auto"/>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20" w:hRule="atLeast"/>
          <w:jc w:val="center"/>
        </w:trPr>
        <w:tc>
          <w:tcPr>
            <w:tcW w:w="1654" w:type="dxa"/>
            <w:gridSpan w:val="2"/>
            <w:vAlign w:val="center"/>
          </w:tcPr>
          <w:p>
            <w:pPr>
              <w:autoSpaceDN w:val="0"/>
              <w:spacing w:line="240" w:lineRule="auto"/>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周传龙</w:t>
            </w:r>
          </w:p>
        </w:tc>
        <w:tc>
          <w:tcPr>
            <w:tcW w:w="3561" w:type="dxa"/>
            <w:gridSpan w:val="6"/>
            <w:vAlign w:val="center"/>
          </w:tcPr>
          <w:p>
            <w:pPr>
              <w:autoSpaceDN w:val="0"/>
              <w:spacing w:line="240" w:lineRule="auto"/>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理事会副主任</w:t>
            </w:r>
          </w:p>
        </w:tc>
        <w:tc>
          <w:tcPr>
            <w:tcW w:w="1479" w:type="dxa"/>
            <w:vAlign w:val="center"/>
          </w:tcPr>
          <w:p>
            <w:pPr>
              <w:autoSpaceDN w:val="0"/>
              <w:spacing w:line="240" w:lineRule="auto"/>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岳阳市供销合作联社</w:t>
            </w:r>
          </w:p>
        </w:tc>
        <w:tc>
          <w:tcPr>
            <w:tcW w:w="3106" w:type="dxa"/>
            <w:gridSpan w:val="8"/>
            <w:vAlign w:val="center"/>
          </w:tcPr>
          <w:p>
            <w:pPr>
              <w:autoSpaceDN w:val="0"/>
              <w:spacing w:line="240" w:lineRule="auto"/>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20" w:hRule="atLeast"/>
          <w:jc w:val="center"/>
        </w:trPr>
        <w:tc>
          <w:tcPr>
            <w:tcW w:w="1654" w:type="dxa"/>
            <w:gridSpan w:val="2"/>
            <w:vAlign w:val="center"/>
          </w:tcPr>
          <w:p>
            <w:pPr>
              <w:autoSpaceDN w:val="0"/>
              <w:spacing w:line="240" w:lineRule="auto"/>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刘江波</w:t>
            </w:r>
          </w:p>
        </w:tc>
        <w:tc>
          <w:tcPr>
            <w:tcW w:w="3561" w:type="dxa"/>
            <w:gridSpan w:val="6"/>
            <w:vAlign w:val="center"/>
          </w:tcPr>
          <w:p>
            <w:pPr>
              <w:autoSpaceDN w:val="0"/>
              <w:spacing w:line="240" w:lineRule="auto"/>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办公室主任</w:t>
            </w:r>
          </w:p>
        </w:tc>
        <w:tc>
          <w:tcPr>
            <w:tcW w:w="1479" w:type="dxa"/>
            <w:vAlign w:val="center"/>
          </w:tcPr>
          <w:p>
            <w:pPr>
              <w:autoSpaceDN w:val="0"/>
              <w:spacing w:line="240" w:lineRule="auto"/>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岳阳市供销合作联社</w:t>
            </w:r>
          </w:p>
        </w:tc>
        <w:tc>
          <w:tcPr>
            <w:tcW w:w="3106" w:type="dxa"/>
            <w:gridSpan w:val="8"/>
            <w:vAlign w:val="center"/>
          </w:tcPr>
          <w:p>
            <w:pPr>
              <w:autoSpaceDN w:val="0"/>
              <w:spacing w:line="240" w:lineRule="auto"/>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45" w:hRule="atLeast"/>
          <w:jc w:val="center"/>
        </w:trPr>
        <w:tc>
          <w:tcPr>
            <w:tcW w:w="1654" w:type="dxa"/>
            <w:gridSpan w:val="2"/>
            <w:vAlign w:val="center"/>
          </w:tcPr>
          <w:p>
            <w:pPr>
              <w:autoSpaceDN w:val="0"/>
              <w:spacing w:line="240" w:lineRule="auto"/>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杨婕敏</w:t>
            </w:r>
          </w:p>
        </w:tc>
        <w:tc>
          <w:tcPr>
            <w:tcW w:w="3561" w:type="dxa"/>
            <w:gridSpan w:val="6"/>
            <w:vAlign w:val="center"/>
          </w:tcPr>
          <w:p>
            <w:pPr>
              <w:autoSpaceDN w:val="0"/>
              <w:spacing w:line="240" w:lineRule="auto"/>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业务科科长</w:t>
            </w:r>
          </w:p>
        </w:tc>
        <w:tc>
          <w:tcPr>
            <w:tcW w:w="1479" w:type="dxa"/>
            <w:vAlign w:val="center"/>
          </w:tcPr>
          <w:p>
            <w:pPr>
              <w:autoSpaceDN w:val="0"/>
              <w:spacing w:line="240" w:lineRule="auto"/>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岳阳市供销合作联社</w:t>
            </w:r>
          </w:p>
        </w:tc>
        <w:tc>
          <w:tcPr>
            <w:tcW w:w="3106" w:type="dxa"/>
            <w:gridSpan w:val="8"/>
            <w:vAlign w:val="center"/>
          </w:tcPr>
          <w:p>
            <w:pPr>
              <w:autoSpaceDN w:val="0"/>
              <w:spacing w:line="240" w:lineRule="auto"/>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01" w:hRule="atLeast"/>
          <w:jc w:val="center"/>
        </w:trPr>
        <w:tc>
          <w:tcPr>
            <w:tcW w:w="1654" w:type="dxa"/>
            <w:gridSpan w:val="2"/>
            <w:vAlign w:val="center"/>
          </w:tcPr>
          <w:p>
            <w:pPr>
              <w:autoSpaceDN w:val="0"/>
              <w:spacing w:line="240" w:lineRule="auto"/>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易乐</w:t>
            </w:r>
          </w:p>
        </w:tc>
        <w:tc>
          <w:tcPr>
            <w:tcW w:w="3561" w:type="dxa"/>
            <w:gridSpan w:val="6"/>
            <w:vAlign w:val="center"/>
          </w:tcPr>
          <w:p>
            <w:pPr>
              <w:autoSpaceDN w:val="0"/>
              <w:spacing w:line="240" w:lineRule="auto"/>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办公室副主任</w:t>
            </w:r>
          </w:p>
        </w:tc>
        <w:tc>
          <w:tcPr>
            <w:tcW w:w="1479" w:type="dxa"/>
            <w:vAlign w:val="center"/>
          </w:tcPr>
          <w:p>
            <w:pPr>
              <w:autoSpaceDN w:val="0"/>
              <w:spacing w:line="240" w:lineRule="auto"/>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岳阳市供销合作联社</w:t>
            </w:r>
          </w:p>
        </w:tc>
        <w:tc>
          <w:tcPr>
            <w:tcW w:w="3106" w:type="dxa"/>
            <w:gridSpan w:val="8"/>
            <w:vAlign w:val="center"/>
          </w:tcPr>
          <w:p>
            <w:pPr>
              <w:autoSpaceDN w:val="0"/>
              <w:spacing w:line="240" w:lineRule="auto"/>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89" w:hRule="atLeast"/>
          <w:jc w:val="center"/>
        </w:trPr>
        <w:tc>
          <w:tcPr>
            <w:tcW w:w="1654" w:type="dxa"/>
            <w:gridSpan w:val="2"/>
            <w:vAlign w:val="center"/>
          </w:tcPr>
          <w:p>
            <w:pPr>
              <w:autoSpaceDN w:val="0"/>
              <w:spacing w:line="240" w:lineRule="auto"/>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钟珊珊</w:t>
            </w:r>
          </w:p>
        </w:tc>
        <w:tc>
          <w:tcPr>
            <w:tcW w:w="3561" w:type="dxa"/>
            <w:gridSpan w:val="6"/>
            <w:vAlign w:val="center"/>
          </w:tcPr>
          <w:p>
            <w:pPr>
              <w:autoSpaceDN w:val="0"/>
              <w:spacing w:line="240" w:lineRule="auto"/>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财务科四级主任科员</w:t>
            </w:r>
          </w:p>
        </w:tc>
        <w:tc>
          <w:tcPr>
            <w:tcW w:w="1479" w:type="dxa"/>
            <w:vAlign w:val="center"/>
          </w:tcPr>
          <w:p>
            <w:pPr>
              <w:autoSpaceDN w:val="0"/>
              <w:spacing w:line="240" w:lineRule="auto"/>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岳阳市供销合作联社</w:t>
            </w:r>
          </w:p>
        </w:tc>
        <w:tc>
          <w:tcPr>
            <w:tcW w:w="3106" w:type="dxa"/>
            <w:gridSpan w:val="8"/>
            <w:vAlign w:val="center"/>
          </w:tcPr>
          <w:p>
            <w:pPr>
              <w:autoSpaceDN w:val="0"/>
              <w:spacing w:line="240" w:lineRule="auto"/>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890"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lang w:val="en-US" w:eastAsia="zh-CN"/>
              </w:rPr>
              <w:t xml:space="preserve"> </w:t>
            </w:r>
            <w:r>
              <w:rPr>
                <w:rFonts w:hint="eastAsia"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lang w:val="en-US" w:eastAsia="zh-CN"/>
              </w:rPr>
              <w:t xml:space="preserve"> </w:t>
            </w:r>
            <w:r>
              <w:rPr>
                <w:rFonts w:hint="eastAsia" w:ascii="仿宋_GB2312" w:hAnsi="仿宋_GB2312" w:eastAsia="仿宋_GB2312" w:cs="仿宋_GB2312"/>
                <w:color w:val="000000"/>
                <w:sz w:val="24"/>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095"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w:t>
            </w:r>
          </w:p>
          <w:p>
            <w:pPr>
              <w:autoSpaceDN w:val="0"/>
              <w:spacing w:line="320" w:lineRule="exact"/>
              <w:ind w:firstLine="6318" w:firstLineChars="26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994" w:hRule="atLeast"/>
          <w:jc w:val="center"/>
        </w:trPr>
        <w:tc>
          <w:tcPr>
            <w:tcW w:w="9800" w:type="dxa"/>
            <w:gridSpan w:val="17"/>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hint="eastAsia" w:eastAsia="仿宋_GB2312"/>
                <w:sz w:val="24"/>
              </w:rPr>
            </w:pPr>
            <w:r>
              <w:rPr>
                <w:rFonts w:hint="eastAsia" w:eastAsia="仿宋_GB2312"/>
                <w:sz w:val="24"/>
              </w:rPr>
              <w:t xml:space="preserve">                                                    </w:t>
            </w:r>
          </w:p>
          <w:p>
            <w:pPr>
              <w:autoSpaceDN w:val="0"/>
              <w:spacing w:line="320" w:lineRule="exact"/>
              <w:ind w:firstLine="6075" w:firstLineChars="2500"/>
              <w:jc w:val="left"/>
              <w:textAlignment w:val="center"/>
              <w:rPr>
                <w:rFonts w:ascii="仿宋_GB2312" w:hAnsi="仿宋_GB2312" w:eastAsia="仿宋_GB2312" w:cs="仿宋_GB2312"/>
                <w:color w:val="000000"/>
                <w:sz w:val="24"/>
              </w:rPr>
            </w:pPr>
            <w:r>
              <w:rPr>
                <w:rFonts w:hint="eastAsia" w:eastAsia="仿宋_GB2312"/>
                <w:sz w:val="24"/>
              </w:rPr>
              <w:t xml:space="preserve"> 年    月   日</w:t>
            </w:r>
          </w:p>
        </w:tc>
      </w:tr>
    </w:tbl>
    <w:p>
      <w:pPr>
        <w:rPr>
          <w:rFonts w:eastAsia="仿宋_GB2312" w:cs="仿宋_GB2312"/>
          <w:bCs/>
          <w:sz w:val="28"/>
          <w:szCs w:val="28"/>
        </w:rPr>
      </w:pPr>
      <w:r>
        <w:rPr>
          <w:rFonts w:hint="eastAsia" w:eastAsia="仿宋_GB2312" w:cs="仿宋_GB2312"/>
          <w:bCs/>
          <w:sz w:val="28"/>
          <w:szCs w:val="28"/>
        </w:rPr>
        <w:t>填报人（签名）：                          联系电话：</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tcPr>
          <w:p>
            <w:pPr>
              <w:jc w:val="center"/>
              <w:rPr>
                <w:rFonts w:ascii="黑体" w:hAnsi="黑体" w:eastAsia="黑体" w:cs="黑体"/>
                <w:bCs/>
                <w:sz w:val="32"/>
                <w:szCs w:val="32"/>
              </w:rPr>
            </w:pPr>
            <w:r>
              <w:rPr>
                <w:rFonts w:hint="eastAsia" w:ascii="黑体" w:hAnsi="黑体" w:eastAsia="黑体" w:cs="黑体"/>
                <w:bCs/>
                <w:sz w:val="32"/>
                <w:szCs w:val="32"/>
              </w:rPr>
              <w:t>五、评价报告综述</w:t>
            </w:r>
          </w:p>
          <w:p>
            <w:pPr>
              <w:spacing w:line="440" w:lineRule="exact"/>
              <w:ind w:firstLine="646" w:firstLineChars="200"/>
              <w:rPr>
                <w:rFonts w:eastAsia="仿宋_GB2312"/>
                <w:sz w:val="32"/>
                <w:szCs w:val="32"/>
              </w:rPr>
            </w:pPr>
          </w:p>
          <w:p>
            <w:pPr>
              <w:spacing w:line="560" w:lineRule="exact"/>
              <w:ind w:firstLine="566" w:firstLineChars="200"/>
              <w:rPr>
                <w:rFonts w:ascii="黑体" w:hAnsi="黑体" w:eastAsia="黑体" w:cs="黑体"/>
                <w:bCs/>
                <w:sz w:val="28"/>
                <w:szCs w:val="28"/>
              </w:rPr>
            </w:pPr>
            <w:r>
              <w:rPr>
                <w:rFonts w:hint="eastAsia" w:ascii="黑体" w:hAnsi="黑体" w:eastAsia="黑体" w:cs="黑体"/>
                <w:bCs/>
                <w:sz w:val="28"/>
                <w:szCs w:val="28"/>
              </w:rPr>
              <w:t>一、部门（单位）概况</w:t>
            </w:r>
          </w:p>
          <w:p>
            <w:pPr>
              <w:keepNext w:val="0"/>
              <w:keepLines w:val="0"/>
              <w:pageBreakBefore w:val="0"/>
              <w:numPr>
                <w:ilvl w:val="0"/>
                <w:numId w:val="0"/>
              </w:numPr>
              <w:kinsoku/>
              <w:wordWrap/>
              <w:overflowPunct/>
              <w:topLinePunct w:val="0"/>
              <w:autoSpaceDE/>
              <w:autoSpaceDN/>
              <w:bidi w:val="0"/>
              <w:adjustRightInd/>
              <w:spacing w:line="360" w:lineRule="auto"/>
              <w:ind w:firstLine="323" w:firstLineChars="1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（一）单位基本概况</w:t>
            </w:r>
          </w:p>
          <w:p>
            <w:pPr>
              <w:keepNext w:val="0"/>
              <w:keepLines w:val="0"/>
              <w:pageBreakBefore w:val="0"/>
              <w:kinsoku/>
              <w:wordWrap/>
              <w:overflowPunct/>
              <w:topLinePunct w:val="0"/>
              <w:autoSpaceDE/>
              <w:autoSpaceDN/>
              <w:bidi w:val="0"/>
              <w:adjustRightInd/>
              <w:spacing w:line="360" w:lineRule="auto"/>
              <w:ind w:firstLine="484" w:firstLineChars="150"/>
              <w:textAlignment w:val="auto"/>
              <w:rPr>
                <w:rFonts w:hint="eastAsia" w:ascii="仿宋" w:hAnsi="仿宋" w:eastAsia="仿宋" w:cs="仿宋"/>
                <w:sz w:val="32"/>
                <w:szCs w:val="32"/>
              </w:rPr>
            </w:pPr>
            <w:r>
              <w:rPr>
                <w:rFonts w:hint="eastAsia" w:ascii="仿宋" w:hAnsi="仿宋" w:eastAsia="仿宋" w:cs="仿宋"/>
                <w:sz w:val="32"/>
                <w:szCs w:val="32"/>
              </w:rPr>
              <w:t>岳阳市供销合作联社是具有行政职能的正处级全额拨款参照公务员法管理事业单位。</w:t>
            </w:r>
            <w:r>
              <w:rPr>
                <w:rFonts w:hint="eastAsia" w:ascii="仿宋" w:hAnsi="仿宋" w:eastAsia="仿宋" w:cs="仿宋"/>
                <w:sz w:val="32"/>
                <w:szCs w:val="32"/>
                <w:lang w:val="en-US" w:eastAsia="zh-CN"/>
              </w:rPr>
              <w:t>本单位内设11个科室，内设科室分别是：办公室、财计科、人事科、合作指导科、宣教科、审计科、老干科、安监科、机关党委、机关纪委、机关工会；</w:t>
            </w:r>
            <w:r>
              <w:rPr>
                <w:rFonts w:hint="eastAsia" w:ascii="仿宋" w:hAnsi="仿宋" w:eastAsia="仿宋" w:cs="仿宋"/>
                <w:sz w:val="32"/>
                <w:szCs w:val="32"/>
              </w:rPr>
              <w:t>全额拨款</w:t>
            </w:r>
            <w:r>
              <w:rPr>
                <w:rFonts w:hint="eastAsia" w:ascii="仿宋" w:hAnsi="仿宋" w:eastAsia="仿宋" w:cs="仿宋"/>
                <w:sz w:val="32"/>
                <w:szCs w:val="32"/>
                <w:lang w:val="en-US" w:eastAsia="zh-CN"/>
              </w:rPr>
              <w:t>二级机构1个（岳阳市供销社新农村服务网络中心）</w:t>
            </w:r>
          </w:p>
          <w:p>
            <w:pPr>
              <w:keepNext w:val="0"/>
              <w:keepLines w:val="0"/>
              <w:pageBreakBefore w:val="0"/>
              <w:kinsoku/>
              <w:wordWrap/>
              <w:overflowPunct/>
              <w:topLinePunct w:val="0"/>
              <w:autoSpaceDE/>
              <w:autoSpaceDN/>
              <w:bidi w:val="0"/>
              <w:adjustRightInd/>
              <w:spacing w:line="360" w:lineRule="auto"/>
              <w:ind w:firstLine="323" w:firstLineChars="1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（二）部门主要职能</w:t>
            </w:r>
          </w:p>
          <w:p>
            <w:pPr>
              <w:keepNext w:val="0"/>
              <w:keepLines w:val="0"/>
              <w:pageBreakBefore w:val="0"/>
              <w:kinsoku/>
              <w:wordWrap/>
              <w:overflowPunct/>
              <w:topLinePunct w:val="0"/>
              <w:autoSpaceDE/>
              <w:autoSpaceDN/>
              <w:bidi w:val="0"/>
              <w:adjustRightInd/>
              <w:spacing w:line="360" w:lineRule="auto"/>
              <w:ind w:firstLine="484" w:firstLineChars="150"/>
              <w:textAlignment w:val="auto"/>
              <w:rPr>
                <w:rFonts w:hint="eastAsia" w:ascii="仿宋" w:hAnsi="仿宋" w:eastAsia="仿宋" w:cs="仿宋"/>
                <w:sz w:val="32"/>
                <w:szCs w:val="32"/>
              </w:rPr>
            </w:pPr>
            <w:r>
              <w:rPr>
                <w:rFonts w:hint="eastAsia" w:ascii="仿宋" w:hAnsi="仿宋" w:eastAsia="仿宋" w:cs="仿宋"/>
                <w:sz w:val="32"/>
                <w:szCs w:val="32"/>
              </w:rPr>
              <w:t>1．宣传、贯彻党和政府及上级供销社有关农村经济工作的方针、政策、法规和《社章》。</w:t>
            </w:r>
          </w:p>
          <w:p>
            <w:pPr>
              <w:keepNext w:val="0"/>
              <w:keepLines w:val="0"/>
              <w:pageBreakBefore w:val="0"/>
              <w:kinsoku/>
              <w:wordWrap/>
              <w:overflowPunct/>
              <w:topLinePunct w:val="0"/>
              <w:autoSpaceDE/>
              <w:autoSpaceDN/>
              <w:bidi w:val="0"/>
              <w:adjustRightInd/>
              <w:spacing w:line="360" w:lineRule="auto"/>
              <w:ind w:firstLine="484" w:firstLineChars="150"/>
              <w:textAlignment w:val="auto"/>
              <w:rPr>
                <w:rFonts w:hint="eastAsia" w:ascii="仿宋" w:hAnsi="仿宋" w:eastAsia="仿宋" w:cs="仿宋"/>
                <w:sz w:val="32"/>
                <w:szCs w:val="32"/>
              </w:rPr>
            </w:pPr>
            <w:r>
              <w:rPr>
                <w:rFonts w:hint="eastAsia" w:ascii="仿宋" w:hAnsi="仿宋" w:eastAsia="仿宋" w:cs="仿宋"/>
                <w:sz w:val="32"/>
                <w:szCs w:val="32"/>
              </w:rPr>
              <w:t>2．负责综合分析供销社经济发展状况，研究制定全市供销社的发展战略和规划，指导全市供销社的发展与改革。</w:t>
            </w:r>
          </w:p>
          <w:p>
            <w:pPr>
              <w:keepNext w:val="0"/>
              <w:keepLines w:val="0"/>
              <w:pageBreakBefore w:val="0"/>
              <w:kinsoku/>
              <w:wordWrap/>
              <w:overflowPunct/>
              <w:topLinePunct w:val="0"/>
              <w:autoSpaceDE/>
              <w:autoSpaceDN/>
              <w:bidi w:val="0"/>
              <w:adjustRightInd/>
              <w:spacing w:line="360" w:lineRule="auto"/>
              <w:ind w:firstLine="484" w:firstLineChars="150"/>
              <w:textAlignment w:val="auto"/>
              <w:rPr>
                <w:rFonts w:hint="eastAsia" w:ascii="仿宋" w:hAnsi="仿宋" w:eastAsia="仿宋" w:cs="仿宋"/>
                <w:sz w:val="32"/>
                <w:szCs w:val="32"/>
              </w:rPr>
            </w:pPr>
            <w:r>
              <w:rPr>
                <w:rFonts w:hint="eastAsia" w:ascii="仿宋" w:hAnsi="仿宋" w:eastAsia="仿宋" w:cs="仿宋"/>
                <w:sz w:val="32"/>
                <w:szCs w:val="32"/>
              </w:rPr>
              <w:t>3．按照政府授权和市场经济的要求，对重要农业生产资料和农副产品、烟花炮竹经营进行组织、协调、管理。</w:t>
            </w:r>
          </w:p>
          <w:p>
            <w:pPr>
              <w:keepNext w:val="0"/>
              <w:keepLines w:val="0"/>
              <w:pageBreakBefore w:val="0"/>
              <w:kinsoku/>
              <w:wordWrap/>
              <w:overflowPunct/>
              <w:topLinePunct w:val="0"/>
              <w:autoSpaceDE/>
              <w:autoSpaceDN/>
              <w:bidi w:val="0"/>
              <w:adjustRightInd/>
              <w:spacing w:line="360" w:lineRule="auto"/>
              <w:ind w:firstLine="484" w:firstLineChars="150"/>
              <w:textAlignment w:val="auto"/>
              <w:rPr>
                <w:rFonts w:hint="eastAsia" w:ascii="仿宋" w:hAnsi="仿宋" w:eastAsia="仿宋" w:cs="仿宋"/>
                <w:sz w:val="32"/>
                <w:szCs w:val="32"/>
              </w:rPr>
            </w:pPr>
            <w:r>
              <w:rPr>
                <w:rFonts w:hint="eastAsia" w:ascii="仿宋" w:hAnsi="仿宋" w:eastAsia="仿宋" w:cs="仿宋"/>
                <w:sz w:val="32"/>
                <w:szCs w:val="32"/>
              </w:rPr>
              <w:t>4．指导各级供销社的业务活动，促进全市城乡物资交流，建立和完善农业社会化服务体系。</w:t>
            </w:r>
          </w:p>
          <w:p>
            <w:pPr>
              <w:keepNext w:val="0"/>
              <w:keepLines w:val="0"/>
              <w:pageBreakBefore w:val="0"/>
              <w:kinsoku/>
              <w:wordWrap/>
              <w:overflowPunct/>
              <w:topLinePunct w:val="0"/>
              <w:autoSpaceDE/>
              <w:autoSpaceDN/>
              <w:bidi w:val="0"/>
              <w:adjustRightInd/>
              <w:spacing w:line="360" w:lineRule="auto"/>
              <w:ind w:firstLine="484" w:firstLineChars="150"/>
              <w:textAlignment w:val="auto"/>
              <w:rPr>
                <w:rFonts w:hint="eastAsia" w:ascii="仿宋" w:hAnsi="仿宋" w:eastAsia="仿宋" w:cs="仿宋"/>
                <w:sz w:val="32"/>
                <w:szCs w:val="32"/>
              </w:rPr>
            </w:pPr>
            <w:r>
              <w:rPr>
                <w:rFonts w:hint="eastAsia" w:ascii="仿宋" w:hAnsi="仿宋" w:eastAsia="仿宋" w:cs="仿宋"/>
                <w:sz w:val="32"/>
                <w:szCs w:val="32"/>
              </w:rPr>
              <w:t>5．围绕农业、农村、农民的需要，组织实施以农产品加工为主的社办工业体系建设。</w:t>
            </w:r>
          </w:p>
          <w:p>
            <w:pPr>
              <w:keepNext w:val="0"/>
              <w:keepLines w:val="0"/>
              <w:pageBreakBefore w:val="0"/>
              <w:kinsoku/>
              <w:wordWrap/>
              <w:overflowPunct/>
              <w:topLinePunct w:val="0"/>
              <w:autoSpaceDE/>
              <w:autoSpaceDN/>
              <w:bidi w:val="0"/>
              <w:adjustRightInd/>
              <w:spacing w:line="360" w:lineRule="auto"/>
              <w:ind w:firstLine="484" w:firstLineChars="150"/>
              <w:textAlignment w:val="auto"/>
              <w:rPr>
                <w:rFonts w:hint="eastAsia" w:ascii="仿宋" w:hAnsi="仿宋" w:eastAsia="仿宋" w:cs="仿宋"/>
                <w:sz w:val="32"/>
                <w:szCs w:val="32"/>
              </w:rPr>
            </w:pPr>
            <w:r>
              <w:rPr>
                <w:rFonts w:hint="eastAsia" w:ascii="仿宋" w:hAnsi="仿宋" w:eastAsia="仿宋" w:cs="仿宋"/>
                <w:sz w:val="32"/>
                <w:szCs w:val="32"/>
              </w:rPr>
              <w:t>6．对市直供销社企业行使经营管理职能，并按照资产保值增值的要求，对社有资产进行监督管理。</w:t>
            </w:r>
          </w:p>
          <w:p>
            <w:pPr>
              <w:keepNext w:val="0"/>
              <w:keepLines w:val="0"/>
              <w:pageBreakBefore w:val="0"/>
              <w:kinsoku/>
              <w:wordWrap/>
              <w:overflowPunct/>
              <w:topLinePunct w:val="0"/>
              <w:autoSpaceDE/>
              <w:autoSpaceDN/>
              <w:bidi w:val="0"/>
              <w:adjustRightInd/>
              <w:spacing w:line="360" w:lineRule="auto"/>
              <w:ind w:firstLine="484" w:firstLineChars="150"/>
              <w:textAlignment w:val="auto"/>
              <w:rPr>
                <w:rFonts w:hint="eastAsia" w:ascii="仿宋" w:hAnsi="仿宋" w:eastAsia="仿宋" w:cs="仿宋"/>
                <w:sz w:val="32"/>
                <w:szCs w:val="32"/>
              </w:rPr>
            </w:pPr>
            <w:r>
              <w:rPr>
                <w:rFonts w:hint="eastAsia" w:ascii="仿宋" w:hAnsi="仿宋" w:eastAsia="仿宋" w:cs="仿宋"/>
                <w:sz w:val="32"/>
                <w:szCs w:val="32"/>
              </w:rPr>
              <w:t>7．组织全市供销社干部、职工业务培训；检查、指导本系统的队伍建设。</w:t>
            </w:r>
          </w:p>
          <w:p>
            <w:pPr>
              <w:keepNext w:val="0"/>
              <w:keepLines w:val="0"/>
              <w:pageBreakBefore w:val="0"/>
              <w:kinsoku/>
              <w:wordWrap/>
              <w:overflowPunct/>
              <w:topLinePunct w:val="0"/>
              <w:autoSpaceDE/>
              <w:autoSpaceDN/>
              <w:bidi w:val="0"/>
              <w:adjustRightInd/>
              <w:spacing w:line="360" w:lineRule="auto"/>
              <w:ind w:firstLine="484" w:firstLineChars="150"/>
              <w:textAlignment w:val="auto"/>
              <w:rPr>
                <w:rFonts w:hint="eastAsia" w:ascii="仿宋" w:hAnsi="仿宋" w:eastAsia="仿宋" w:cs="仿宋"/>
                <w:sz w:val="32"/>
                <w:szCs w:val="32"/>
              </w:rPr>
            </w:pPr>
            <w:r>
              <w:rPr>
                <w:rFonts w:hint="eastAsia" w:ascii="仿宋" w:hAnsi="仿宋" w:eastAsia="仿宋" w:cs="仿宋"/>
                <w:sz w:val="32"/>
                <w:szCs w:val="32"/>
              </w:rPr>
              <w:t>8．承办市委、市政府、省供销社交办的其他工作。</w:t>
            </w:r>
          </w:p>
          <w:p>
            <w:pPr>
              <w:keepNext w:val="0"/>
              <w:keepLines w:val="0"/>
              <w:pageBreakBefore w:val="0"/>
              <w:kinsoku/>
              <w:wordWrap/>
              <w:overflowPunct/>
              <w:topLinePunct w:val="0"/>
              <w:autoSpaceDE/>
              <w:autoSpaceDN/>
              <w:bidi w:val="0"/>
              <w:adjustRightInd/>
              <w:spacing w:line="360" w:lineRule="auto"/>
              <w:ind w:firstLine="323" w:firstLineChars="1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（三）单位整体支出规模、使用方向和主要内容、涉及范围等</w:t>
            </w:r>
          </w:p>
          <w:p>
            <w:pPr>
              <w:keepNext w:val="0"/>
              <w:keepLines w:val="0"/>
              <w:pageBreakBefore w:val="0"/>
              <w:kinsoku/>
              <w:wordWrap/>
              <w:overflowPunct/>
              <w:topLinePunct w:val="0"/>
              <w:autoSpaceDE/>
              <w:autoSpaceDN/>
              <w:bidi w:val="0"/>
              <w:adjustRightInd/>
              <w:spacing w:line="360" w:lineRule="auto"/>
              <w:ind w:firstLine="646" w:firstLineChars="200"/>
              <w:textAlignment w:val="auto"/>
              <w:rPr>
                <w:rFonts w:ascii="仿宋_GB2312" w:hAnsi="仿宋_GB2312" w:eastAsia="仿宋_GB2312" w:cs="仿宋_GB2312"/>
                <w:bCs/>
                <w:sz w:val="28"/>
                <w:szCs w:val="28"/>
              </w:rPr>
            </w:pPr>
            <w:r>
              <w:rPr>
                <w:rFonts w:hint="eastAsia" w:ascii="仿宋" w:hAnsi="仿宋" w:eastAsia="仿宋" w:cs="仿宋"/>
                <w:sz w:val="32"/>
                <w:szCs w:val="32"/>
                <w:lang w:val="en-US" w:eastAsia="zh-CN"/>
              </w:rPr>
              <w:t>2020</w:t>
            </w:r>
            <w:r>
              <w:rPr>
                <w:rFonts w:hint="eastAsia" w:ascii="仿宋" w:hAnsi="仿宋" w:eastAsia="仿宋" w:cs="仿宋"/>
                <w:sz w:val="32"/>
                <w:szCs w:val="32"/>
              </w:rPr>
              <w:t>年单位整体总支出</w:t>
            </w:r>
            <w:r>
              <w:rPr>
                <w:rFonts w:hint="eastAsia" w:ascii="仿宋" w:hAnsi="仿宋" w:eastAsia="仿宋" w:cs="仿宋"/>
                <w:sz w:val="32"/>
                <w:szCs w:val="32"/>
                <w:lang w:val="en-US" w:eastAsia="zh-CN"/>
              </w:rPr>
              <w:t>789.59</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608.92</w:t>
            </w:r>
            <w:r>
              <w:rPr>
                <w:rFonts w:hint="eastAsia" w:ascii="仿宋" w:hAnsi="仿宋" w:eastAsia="仿宋" w:cs="仿宋"/>
                <w:sz w:val="32"/>
                <w:szCs w:val="32"/>
              </w:rPr>
              <w:t>万元，占总支出的</w:t>
            </w:r>
            <w:r>
              <w:rPr>
                <w:rFonts w:hint="eastAsia" w:ascii="仿宋" w:hAnsi="仿宋" w:eastAsia="仿宋" w:cs="仿宋"/>
                <w:sz w:val="32"/>
                <w:szCs w:val="32"/>
                <w:lang w:val="en-US" w:eastAsia="zh-CN"/>
              </w:rPr>
              <w:t>77.12%</w:t>
            </w:r>
            <w:r>
              <w:rPr>
                <w:rFonts w:hint="eastAsia" w:ascii="仿宋" w:hAnsi="仿宋" w:eastAsia="仿宋" w:cs="仿宋"/>
                <w:sz w:val="32"/>
                <w:szCs w:val="32"/>
              </w:rPr>
              <w:t>，基本支出中人员支出为</w:t>
            </w:r>
            <w:r>
              <w:rPr>
                <w:rFonts w:hint="eastAsia" w:ascii="仿宋" w:hAnsi="仿宋" w:eastAsia="仿宋" w:cs="仿宋"/>
                <w:sz w:val="32"/>
                <w:szCs w:val="32"/>
                <w:lang w:val="en-US" w:eastAsia="zh-CN"/>
              </w:rPr>
              <w:t>551.35</w:t>
            </w:r>
            <w:r>
              <w:rPr>
                <w:rFonts w:hint="eastAsia" w:ascii="仿宋" w:hAnsi="仿宋" w:eastAsia="仿宋" w:cs="仿宋"/>
                <w:sz w:val="32"/>
                <w:szCs w:val="32"/>
              </w:rPr>
              <w:t>万元，公用支出</w:t>
            </w:r>
            <w:r>
              <w:rPr>
                <w:rFonts w:hint="eastAsia" w:ascii="仿宋" w:hAnsi="仿宋" w:eastAsia="仿宋" w:cs="仿宋"/>
                <w:sz w:val="32"/>
                <w:szCs w:val="32"/>
                <w:lang w:val="en-US" w:eastAsia="zh-CN"/>
              </w:rPr>
              <w:t>57.57</w:t>
            </w:r>
            <w:r>
              <w:rPr>
                <w:rFonts w:hint="eastAsia" w:ascii="仿宋" w:hAnsi="仿宋" w:eastAsia="仿宋" w:cs="仿宋"/>
                <w:sz w:val="32"/>
                <w:szCs w:val="32"/>
              </w:rPr>
              <w:t>万元，项目支出</w:t>
            </w:r>
            <w:r>
              <w:rPr>
                <w:rFonts w:hint="eastAsia" w:ascii="仿宋" w:hAnsi="仿宋" w:eastAsia="仿宋" w:cs="仿宋"/>
                <w:sz w:val="32"/>
                <w:szCs w:val="32"/>
                <w:lang w:val="en-US" w:eastAsia="zh-CN"/>
              </w:rPr>
              <w:t>180.67</w:t>
            </w:r>
            <w:r>
              <w:rPr>
                <w:rFonts w:hint="eastAsia" w:ascii="仿宋" w:hAnsi="仿宋" w:eastAsia="仿宋" w:cs="仿宋"/>
                <w:sz w:val="32"/>
                <w:szCs w:val="32"/>
              </w:rPr>
              <w:t>万元，占总支出的</w:t>
            </w:r>
            <w:r>
              <w:rPr>
                <w:rFonts w:hint="eastAsia" w:ascii="仿宋" w:hAnsi="仿宋" w:eastAsia="仿宋" w:cs="仿宋"/>
                <w:sz w:val="32"/>
                <w:szCs w:val="32"/>
                <w:lang w:val="en-US" w:eastAsia="zh-CN"/>
              </w:rPr>
              <w:t>22.88%</w:t>
            </w:r>
            <w:r>
              <w:rPr>
                <w:rFonts w:hint="eastAsia" w:ascii="仿宋" w:hAnsi="仿宋" w:eastAsia="仿宋" w:cs="仿宋"/>
                <w:sz w:val="32"/>
                <w:szCs w:val="32"/>
              </w:rPr>
              <w:t>。</w:t>
            </w:r>
          </w:p>
          <w:p>
            <w:pPr>
              <w:numPr>
                <w:ilvl w:val="0"/>
                <w:numId w:val="4"/>
              </w:numPr>
              <w:spacing w:line="560" w:lineRule="exact"/>
              <w:ind w:firstLine="566" w:firstLineChars="200"/>
              <w:rPr>
                <w:rFonts w:hint="eastAsia" w:ascii="黑体" w:hAnsi="黑体" w:eastAsia="黑体" w:cs="黑体"/>
                <w:bCs/>
                <w:sz w:val="28"/>
                <w:szCs w:val="28"/>
              </w:rPr>
            </w:pPr>
            <w:r>
              <w:rPr>
                <w:rFonts w:hint="eastAsia" w:ascii="黑体" w:hAnsi="黑体" w:eastAsia="黑体" w:cs="黑体"/>
                <w:bCs/>
                <w:sz w:val="28"/>
                <w:szCs w:val="28"/>
              </w:rPr>
              <w:t>部门（单位）整体支出管理及使用情况</w:t>
            </w:r>
          </w:p>
          <w:p>
            <w:pPr>
              <w:keepNext w:val="0"/>
              <w:keepLines w:val="0"/>
              <w:pageBreakBefore w:val="0"/>
              <w:kinsoku/>
              <w:wordWrap/>
              <w:overflowPunct/>
              <w:topLinePunct w:val="0"/>
              <w:autoSpaceDE/>
              <w:autoSpaceDN/>
              <w:bidi w:val="0"/>
              <w:adjustRightInd/>
              <w:spacing w:line="360" w:lineRule="auto"/>
              <w:ind w:firstLine="646"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color w:val="101010"/>
                <w:sz w:val="32"/>
                <w:szCs w:val="32"/>
              </w:rPr>
              <w:t>（一）管理情况</w:t>
            </w:r>
          </w:p>
          <w:p>
            <w:pPr>
              <w:keepNext w:val="0"/>
              <w:keepLines w:val="0"/>
              <w:pageBreakBefore w:val="0"/>
              <w:kinsoku/>
              <w:wordWrap/>
              <w:overflowPunct/>
              <w:topLinePunct w:val="0"/>
              <w:autoSpaceDE/>
              <w:autoSpaceDN/>
              <w:bidi w:val="0"/>
              <w:adjustRightInd/>
              <w:spacing w:line="360" w:lineRule="auto"/>
              <w:ind w:firstLine="484" w:firstLineChars="150"/>
              <w:textAlignment w:val="auto"/>
              <w:rPr>
                <w:rFonts w:hint="eastAsia" w:ascii="仿宋" w:hAnsi="仿宋" w:eastAsia="仿宋" w:cs="仿宋"/>
                <w:sz w:val="32"/>
                <w:szCs w:val="32"/>
              </w:rPr>
            </w:pPr>
            <w:r>
              <w:rPr>
                <w:rFonts w:hint="eastAsia" w:ascii="仿宋" w:hAnsi="仿宋" w:eastAsia="仿宋" w:cs="仿宋"/>
                <w:sz w:val="32"/>
                <w:szCs w:val="32"/>
              </w:rPr>
              <w:t>岳阳市供销社根据《会计法》、《预算法》、《行政单位财务规则》等法律法规和省财政厅及市财政局有关财务规章的规定，制订了《岳阳市供销社机关财务管理办法》，明确了经费审批权限及程序，经费预算管理、财务经费管理、资产购置与处置、财务监督等制度。岳阳市供销社还单独制订了《岳阳市供销社公务用车管理制度》、《岳阳市供销社公务接待管理制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岳阳市供销社政府采购内部控制管理制度</w:t>
            </w:r>
            <w:r>
              <w:rPr>
                <w:rFonts w:hint="eastAsia" w:ascii="仿宋" w:hAnsi="仿宋" w:eastAsia="仿宋" w:cs="仿宋"/>
                <w:sz w:val="32"/>
                <w:szCs w:val="32"/>
                <w:lang w:eastAsia="zh-CN"/>
              </w:rPr>
              <w:t>》</w:t>
            </w:r>
            <w:r>
              <w:rPr>
                <w:rFonts w:hint="eastAsia" w:ascii="仿宋" w:hAnsi="仿宋" w:eastAsia="仿宋" w:cs="仿宋"/>
                <w:sz w:val="32"/>
                <w:szCs w:val="32"/>
              </w:rPr>
              <w:t xml:space="preserve">等制度，明确了相应原则和要求、开支范围、程序、办法及标准、审批权限等。上述制度规定基本得到执行。 </w:t>
            </w:r>
          </w:p>
          <w:p>
            <w:pPr>
              <w:keepNext w:val="0"/>
              <w:keepLines w:val="0"/>
              <w:pageBreakBefore w:val="0"/>
              <w:kinsoku/>
              <w:wordWrap/>
              <w:overflowPunct/>
              <w:topLinePunct w:val="0"/>
              <w:autoSpaceDE/>
              <w:autoSpaceDN/>
              <w:bidi w:val="0"/>
              <w:adjustRightInd/>
              <w:spacing w:line="360" w:lineRule="auto"/>
              <w:ind w:firstLine="646"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color w:val="101010"/>
                <w:sz w:val="32"/>
                <w:szCs w:val="32"/>
              </w:rPr>
              <w:t>（二）整体支出使用情况</w:t>
            </w:r>
          </w:p>
          <w:p>
            <w:pPr>
              <w:keepNext w:val="0"/>
              <w:keepLines w:val="0"/>
              <w:pageBreakBefore w:val="0"/>
              <w:kinsoku/>
              <w:wordWrap/>
              <w:overflowPunct/>
              <w:topLinePunct w:val="0"/>
              <w:autoSpaceDE/>
              <w:autoSpaceDN/>
              <w:bidi w:val="0"/>
              <w:adjustRightInd/>
              <w:spacing w:line="360" w:lineRule="auto"/>
              <w:ind w:firstLine="646" w:firstLineChars="200"/>
              <w:textAlignment w:val="auto"/>
              <w:rPr>
                <w:rFonts w:hint="eastAsia" w:ascii="仿宋" w:hAnsi="仿宋" w:eastAsia="仿宋" w:cs="仿宋"/>
                <w:b/>
                <w:color w:val="101010"/>
                <w:sz w:val="32"/>
                <w:szCs w:val="32"/>
              </w:rPr>
            </w:pPr>
            <w:r>
              <w:rPr>
                <w:rFonts w:hint="eastAsia" w:ascii="仿宋" w:hAnsi="仿宋" w:eastAsia="仿宋" w:cs="仿宋"/>
                <w:b/>
                <w:color w:val="101010"/>
                <w:sz w:val="32"/>
                <w:szCs w:val="32"/>
              </w:rPr>
              <w:t xml:space="preserve">1．基本支出 </w:t>
            </w:r>
          </w:p>
          <w:p>
            <w:pPr>
              <w:keepNext w:val="0"/>
              <w:keepLines w:val="0"/>
              <w:pageBreakBefore w:val="0"/>
              <w:widowControl w:val="0"/>
              <w:kinsoku/>
              <w:wordWrap/>
              <w:overflowPunct/>
              <w:topLinePunct w:val="0"/>
              <w:autoSpaceDE/>
              <w:autoSpaceDN/>
              <w:bidi w:val="0"/>
              <w:adjustRightInd/>
              <w:snapToGrid/>
              <w:spacing w:line="360" w:lineRule="auto"/>
              <w:ind w:firstLine="646" w:firstLineChars="200"/>
              <w:textAlignment w:val="auto"/>
              <w:rPr>
                <w:rFonts w:hint="eastAsia" w:ascii="仿宋" w:hAnsi="仿宋" w:eastAsia="仿宋" w:cs="仿宋"/>
                <w:color w:val="101010"/>
                <w:sz w:val="32"/>
                <w:szCs w:val="32"/>
              </w:rPr>
            </w:pPr>
            <w:r>
              <w:rPr>
                <w:rFonts w:hint="eastAsia" w:ascii="仿宋" w:hAnsi="仿宋" w:eastAsia="仿宋" w:cs="仿宋"/>
                <w:color w:val="101010"/>
                <w:sz w:val="32"/>
                <w:szCs w:val="32"/>
              </w:rPr>
              <w:t>基本支出用于为保障机构正常运转、完成日常工作任务而发生的支出，包括人员经费和公用经费。</w:t>
            </w:r>
            <w:r>
              <w:rPr>
                <w:rFonts w:hint="eastAsia" w:ascii="仿宋" w:hAnsi="仿宋" w:eastAsia="仿宋" w:cs="仿宋"/>
                <w:color w:val="101010"/>
                <w:sz w:val="32"/>
                <w:szCs w:val="32"/>
                <w:lang w:val="en-US" w:eastAsia="zh-CN"/>
              </w:rPr>
              <w:t>2020</w:t>
            </w:r>
            <w:r>
              <w:rPr>
                <w:rFonts w:hint="eastAsia" w:ascii="仿宋" w:hAnsi="仿宋" w:eastAsia="仿宋" w:cs="仿宋"/>
                <w:color w:val="101010"/>
                <w:sz w:val="32"/>
                <w:szCs w:val="32"/>
              </w:rPr>
              <w:t>年基本支出</w:t>
            </w:r>
            <w:r>
              <w:rPr>
                <w:rFonts w:hint="eastAsia" w:ascii="仿宋" w:hAnsi="仿宋" w:eastAsia="仿宋" w:cs="仿宋"/>
                <w:sz w:val="32"/>
                <w:szCs w:val="32"/>
                <w:lang w:val="en-US" w:eastAsia="zh-CN"/>
              </w:rPr>
              <w:t>608.92</w:t>
            </w:r>
            <w:r>
              <w:rPr>
                <w:rFonts w:hint="eastAsia" w:ascii="仿宋" w:hAnsi="仿宋" w:eastAsia="仿宋" w:cs="仿宋"/>
                <w:color w:val="101010"/>
                <w:sz w:val="32"/>
                <w:szCs w:val="32"/>
              </w:rPr>
              <w:t>万元，其中</w:t>
            </w:r>
            <w:r>
              <w:rPr>
                <w:rFonts w:hint="eastAsia" w:ascii="仿宋" w:hAnsi="仿宋" w:eastAsia="仿宋" w:cs="仿宋"/>
                <w:color w:val="000000"/>
                <w:sz w:val="32"/>
                <w:szCs w:val="32"/>
              </w:rPr>
              <w:t>工资福利支出</w:t>
            </w:r>
            <w:r>
              <w:rPr>
                <w:rFonts w:hint="eastAsia" w:ascii="仿宋" w:hAnsi="仿宋" w:eastAsia="仿宋" w:cs="仿宋"/>
                <w:color w:val="000000"/>
                <w:sz w:val="32"/>
                <w:szCs w:val="32"/>
                <w:lang w:val="en-US" w:eastAsia="zh-CN"/>
              </w:rPr>
              <w:t>379.78</w:t>
            </w:r>
            <w:r>
              <w:rPr>
                <w:rFonts w:hint="eastAsia" w:ascii="仿宋" w:hAnsi="仿宋" w:eastAsia="仿宋" w:cs="仿宋"/>
                <w:color w:val="000000"/>
                <w:sz w:val="32"/>
                <w:szCs w:val="32"/>
              </w:rPr>
              <w:t>万元，商品和服务支出</w:t>
            </w:r>
            <w:r>
              <w:rPr>
                <w:rFonts w:hint="eastAsia" w:ascii="仿宋" w:hAnsi="仿宋" w:eastAsia="仿宋" w:cs="仿宋"/>
                <w:color w:val="000000"/>
                <w:sz w:val="32"/>
                <w:szCs w:val="32"/>
                <w:lang w:val="en-US" w:eastAsia="zh-CN"/>
              </w:rPr>
              <w:t>57.57</w:t>
            </w:r>
            <w:r>
              <w:rPr>
                <w:rFonts w:hint="eastAsia" w:ascii="仿宋" w:hAnsi="仿宋" w:eastAsia="仿宋" w:cs="仿宋"/>
                <w:color w:val="000000"/>
                <w:sz w:val="32"/>
                <w:szCs w:val="32"/>
              </w:rPr>
              <w:t>万元，对个人和家庭的补助支出</w:t>
            </w:r>
            <w:r>
              <w:rPr>
                <w:rFonts w:hint="eastAsia" w:ascii="仿宋" w:hAnsi="仿宋" w:eastAsia="仿宋" w:cs="仿宋"/>
                <w:color w:val="000000"/>
                <w:sz w:val="32"/>
                <w:szCs w:val="32"/>
                <w:lang w:val="en-US" w:eastAsia="zh-CN"/>
              </w:rPr>
              <w:t>171.57</w:t>
            </w:r>
            <w:r>
              <w:rPr>
                <w:rFonts w:hint="eastAsia" w:ascii="仿宋" w:hAnsi="仿宋" w:eastAsia="仿宋" w:cs="仿宋"/>
                <w:color w:val="000000"/>
                <w:sz w:val="32"/>
                <w:szCs w:val="32"/>
              </w:rPr>
              <w:t>万元</w:t>
            </w:r>
            <w:r>
              <w:rPr>
                <w:rFonts w:hint="eastAsia" w:ascii="仿宋" w:hAnsi="仿宋" w:eastAsia="仿宋" w:cs="仿宋"/>
                <w:color w:val="101010"/>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6"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2020</w:t>
            </w:r>
            <w:r>
              <w:rPr>
                <w:rFonts w:hint="eastAsia" w:ascii="仿宋" w:hAnsi="仿宋" w:eastAsia="仿宋" w:cs="仿宋"/>
                <w:color w:val="000000"/>
                <w:sz w:val="32"/>
                <w:szCs w:val="32"/>
              </w:rPr>
              <w:t>年三公经费支出</w:t>
            </w:r>
            <w:r>
              <w:rPr>
                <w:rFonts w:hint="eastAsia" w:ascii="仿宋" w:hAnsi="仿宋" w:eastAsia="仿宋" w:cs="仿宋"/>
                <w:color w:val="000000"/>
                <w:sz w:val="32"/>
                <w:szCs w:val="32"/>
                <w:lang w:val="en-US" w:eastAsia="zh-CN"/>
              </w:rPr>
              <w:t>6.8</w:t>
            </w:r>
            <w:r>
              <w:rPr>
                <w:rFonts w:hint="eastAsia" w:ascii="仿宋" w:hAnsi="仿宋" w:eastAsia="仿宋" w:cs="仿宋"/>
                <w:color w:val="000000"/>
                <w:sz w:val="32"/>
                <w:szCs w:val="32"/>
              </w:rPr>
              <w:t>万元，财政下达控制数为9万元，仅为控制数的</w:t>
            </w:r>
            <w:r>
              <w:rPr>
                <w:rFonts w:hint="eastAsia" w:ascii="仿宋" w:hAnsi="仿宋" w:eastAsia="仿宋" w:cs="仿宋"/>
                <w:color w:val="000000"/>
                <w:sz w:val="32"/>
                <w:szCs w:val="32"/>
                <w:lang w:val="en-US" w:eastAsia="zh-CN"/>
              </w:rPr>
              <w:t>75.55</w:t>
            </w:r>
            <w:r>
              <w:rPr>
                <w:rFonts w:hint="eastAsia" w:ascii="仿宋" w:hAnsi="仿宋" w:eastAsia="仿宋" w:cs="仿宋"/>
                <w:color w:val="000000"/>
                <w:sz w:val="32"/>
                <w:szCs w:val="32"/>
              </w:rPr>
              <w:t>%。其中公务用车购置及运行维护费</w:t>
            </w:r>
            <w:r>
              <w:rPr>
                <w:rFonts w:hint="eastAsia" w:ascii="仿宋" w:hAnsi="仿宋" w:eastAsia="仿宋" w:cs="仿宋"/>
                <w:color w:val="000000"/>
                <w:sz w:val="32"/>
                <w:szCs w:val="32"/>
                <w:lang w:val="en-US" w:eastAsia="zh-CN"/>
              </w:rPr>
              <w:t>2.92</w:t>
            </w:r>
            <w:r>
              <w:rPr>
                <w:rFonts w:hint="eastAsia" w:ascii="仿宋" w:hAnsi="仿宋" w:eastAsia="仿宋" w:cs="仿宋"/>
                <w:color w:val="000000"/>
                <w:sz w:val="32"/>
                <w:szCs w:val="32"/>
              </w:rPr>
              <w:t>万元，使用当年财政预算财政拨款支出</w:t>
            </w:r>
            <w:r>
              <w:rPr>
                <w:rFonts w:hint="eastAsia" w:ascii="仿宋" w:hAnsi="仿宋" w:eastAsia="仿宋" w:cs="仿宋"/>
                <w:color w:val="000000"/>
                <w:sz w:val="32"/>
                <w:szCs w:val="32"/>
                <w:lang w:val="en-US" w:eastAsia="zh-CN"/>
              </w:rPr>
              <w:t>2.92</w:t>
            </w:r>
            <w:r>
              <w:rPr>
                <w:rFonts w:hint="eastAsia" w:ascii="仿宋" w:hAnsi="仿宋" w:eastAsia="仿宋" w:cs="仿宋"/>
                <w:color w:val="000000"/>
                <w:sz w:val="32"/>
                <w:szCs w:val="32"/>
              </w:rPr>
              <w:t>万元;公务接待费支出</w:t>
            </w:r>
            <w:r>
              <w:rPr>
                <w:rFonts w:hint="eastAsia" w:ascii="仿宋" w:hAnsi="仿宋" w:eastAsia="仿宋" w:cs="仿宋"/>
                <w:color w:val="000000"/>
                <w:sz w:val="32"/>
                <w:szCs w:val="32"/>
                <w:lang w:val="en-US" w:eastAsia="zh-CN"/>
              </w:rPr>
              <w:t>3.88</w:t>
            </w:r>
            <w:r>
              <w:rPr>
                <w:rFonts w:hint="eastAsia" w:ascii="仿宋" w:hAnsi="仿宋" w:eastAsia="仿宋" w:cs="仿宋"/>
                <w:color w:val="000000"/>
                <w:sz w:val="32"/>
                <w:szCs w:val="32"/>
              </w:rPr>
              <w:t>万元，使用当年财政预算财政拨款支出</w:t>
            </w:r>
            <w:r>
              <w:rPr>
                <w:rFonts w:hint="eastAsia" w:ascii="仿宋" w:hAnsi="仿宋" w:eastAsia="仿宋" w:cs="仿宋"/>
                <w:color w:val="000000"/>
                <w:sz w:val="32"/>
                <w:szCs w:val="32"/>
                <w:lang w:val="en-US" w:eastAsia="zh-CN"/>
              </w:rPr>
              <w:t>3.88</w:t>
            </w:r>
            <w:r>
              <w:rPr>
                <w:rFonts w:hint="eastAsia" w:ascii="仿宋" w:hAnsi="仿宋" w:eastAsia="仿宋" w:cs="仿宋"/>
                <w:color w:val="000000"/>
                <w:sz w:val="32"/>
                <w:szCs w:val="32"/>
              </w:rPr>
              <w:t>万元。</w:t>
            </w:r>
          </w:p>
          <w:p>
            <w:pPr>
              <w:keepNext w:val="0"/>
              <w:keepLines w:val="0"/>
              <w:pageBreakBefore w:val="0"/>
              <w:kinsoku/>
              <w:wordWrap/>
              <w:overflowPunct/>
              <w:topLinePunct w:val="0"/>
              <w:autoSpaceDE/>
              <w:autoSpaceDN/>
              <w:bidi w:val="0"/>
              <w:adjustRightInd/>
              <w:spacing w:line="360" w:lineRule="auto"/>
              <w:ind w:firstLine="646" w:firstLineChars="200"/>
              <w:textAlignment w:val="auto"/>
              <w:rPr>
                <w:rFonts w:hint="eastAsia" w:ascii="仿宋" w:hAnsi="仿宋" w:eastAsia="仿宋" w:cs="仿宋"/>
                <w:color w:val="101010"/>
                <w:sz w:val="32"/>
                <w:szCs w:val="32"/>
              </w:rPr>
            </w:pPr>
            <w:r>
              <w:rPr>
                <w:rFonts w:hint="eastAsia" w:ascii="仿宋" w:hAnsi="仿宋" w:eastAsia="仿宋" w:cs="仿宋"/>
                <w:b/>
                <w:color w:val="101010"/>
                <w:sz w:val="32"/>
                <w:szCs w:val="32"/>
              </w:rPr>
              <w:t>2．项目支出</w:t>
            </w:r>
          </w:p>
          <w:p>
            <w:pPr>
              <w:spacing w:line="560" w:lineRule="exact"/>
              <w:ind w:firstLine="646" w:firstLineChars="200"/>
              <w:rPr>
                <w:rFonts w:ascii="仿宋_GB2312" w:hAnsi="仿宋_GB2312" w:eastAsia="仿宋_GB2312" w:cs="仿宋_GB2312"/>
                <w:bCs/>
                <w:sz w:val="28"/>
                <w:szCs w:val="28"/>
              </w:rPr>
            </w:pPr>
            <w:r>
              <w:rPr>
                <w:rFonts w:hint="eastAsia" w:ascii="仿宋" w:hAnsi="仿宋" w:eastAsia="仿宋" w:cs="仿宋"/>
                <w:color w:val="101010"/>
                <w:sz w:val="32"/>
                <w:szCs w:val="32"/>
              </w:rPr>
              <w:t>项目支出是在基本支出之外为完成其特定的行政工作任务而发生的支出，主要用于业务工作专项、运行维护专项等。</w:t>
            </w:r>
            <w:r>
              <w:rPr>
                <w:rFonts w:hint="eastAsia" w:ascii="仿宋" w:hAnsi="仿宋" w:eastAsia="仿宋" w:cs="仿宋"/>
                <w:color w:val="101010"/>
                <w:sz w:val="32"/>
                <w:szCs w:val="32"/>
                <w:lang w:val="en-US" w:eastAsia="zh-CN"/>
              </w:rPr>
              <w:t>2020</w:t>
            </w:r>
            <w:r>
              <w:rPr>
                <w:rFonts w:hint="eastAsia" w:ascii="仿宋" w:hAnsi="仿宋" w:eastAsia="仿宋" w:cs="仿宋"/>
                <w:color w:val="101010"/>
                <w:sz w:val="32"/>
                <w:szCs w:val="32"/>
              </w:rPr>
              <w:t>年项目支出</w:t>
            </w:r>
            <w:r>
              <w:rPr>
                <w:rFonts w:hint="eastAsia" w:ascii="仿宋" w:hAnsi="仿宋" w:eastAsia="仿宋" w:cs="仿宋"/>
                <w:color w:val="101010"/>
                <w:sz w:val="32"/>
                <w:szCs w:val="32"/>
                <w:lang w:val="en-US" w:eastAsia="zh-CN"/>
              </w:rPr>
              <w:t>180.67</w:t>
            </w:r>
            <w:r>
              <w:rPr>
                <w:rFonts w:hint="eastAsia" w:ascii="仿宋" w:hAnsi="仿宋" w:eastAsia="仿宋" w:cs="仿宋"/>
                <w:color w:val="101010"/>
                <w:sz w:val="32"/>
                <w:szCs w:val="32"/>
              </w:rPr>
              <w:t>万元，其中：</w:t>
            </w:r>
            <w:r>
              <w:rPr>
                <w:rFonts w:hint="eastAsia" w:ascii="仿宋" w:hAnsi="仿宋" w:eastAsia="仿宋" w:cs="仿宋"/>
                <w:color w:val="000000"/>
                <w:sz w:val="32"/>
                <w:szCs w:val="32"/>
              </w:rPr>
              <w:t>商品和服务支出</w:t>
            </w:r>
            <w:r>
              <w:rPr>
                <w:rFonts w:hint="eastAsia" w:ascii="仿宋" w:hAnsi="仿宋" w:eastAsia="仿宋" w:cs="仿宋"/>
                <w:color w:val="000000"/>
                <w:sz w:val="32"/>
                <w:szCs w:val="32"/>
                <w:lang w:val="en-US" w:eastAsia="zh-CN"/>
              </w:rPr>
              <w:t>180.67</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val="en-US" w:eastAsia="zh-CN"/>
              </w:rPr>
              <w:t>无</w:t>
            </w:r>
            <w:r>
              <w:rPr>
                <w:rFonts w:hint="eastAsia" w:ascii="仿宋" w:hAnsi="仿宋" w:eastAsia="仿宋" w:cs="仿宋"/>
                <w:color w:val="000000"/>
                <w:sz w:val="32"/>
                <w:szCs w:val="32"/>
              </w:rPr>
              <w:t>其他资本性支出</w:t>
            </w:r>
            <w:r>
              <w:rPr>
                <w:rFonts w:hint="eastAsia" w:ascii="仿宋" w:hAnsi="仿宋" w:eastAsia="仿宋" w:cs="仿宋"/>
                <w:color w:val="000000"/>
                <w:sz w:val="32"/>
                <w:szCs w:val="32"/>
                <w:lang w:eastAsia="zh-CN"/>
              </w:rPr>
              <w:t>。</w:t>
            </w:r>
          </w:p>
          <w:p>
            <w:pPr>
              <w:spacing w:line="560" w:lineRule="exact"/>
              <w:ind w:firstLine="566" w:firstLineChars="200"/>
              <w:rPr>
                <w:rFonts w:ascii="黑体" w:hAnsi="黑体" w:eastAsia="黑体" w:cs="黑体"/>
                <w:bCs/>
                <w:sz w:val="28"/>
                <w:szCs w:val="28"/>
              </w:rPr>
            </w:pPr>
            <w:r>
              <w:rPr>
                <w:rFonts w:hint="eastAsia" w:ascii="黑体" w:hAnsi="黑体" w:eastAsia="黑体" w:cs="黑体"/>
                <w:bCs/>
                <w:sz w:val="28"/>
                <w:szCs w:val="28"/>
              </w:rPr>
              <w:t>三、部门（单位）专项组织实施情况</w:t>
            </w:r>
          </w:p>
          <w:p>
            <w:pPr>
              <w:keepNext w:val="0"/>
              <w:keepLines w:val="0"/>
              <w:pageBreakBefore w:val="0"/>
              <w:widowControl/>
              <w:kinsoku/>
              <w:wordWrap/>
              <w:overflowPunct/>
              <w:topLinePunct w:val="0"/>
              <w:autoSpaceDE/>
              <w:autoSpaceDN/>
              <w:bidi w:val="0"/>
              <w:adjustRightInd/>
              <w:snapToGrid/>
              <w:spacing w:line="360" w:lineRule="auto"/>
              <w:ind w:firstLine="646" w:firstLineChars="200"/>
              <w:jc w:val="left"/>
              <w:textAlignment w:val="auto"/>
              <w:rPr>
                <w:rFonts w:hint="eastAsia" w:ascii="仿宋" w:hAnsi="仿宋" w:eastAsia="仿宋" w:cs="仿宋"/>
                <w:sz w:val="32"/>
                <w:szCs w:val="32"/>
              </w:rPr>
            </w:pPr>
            <w:r>
              <w:rPr>
                <w:rFonts w:hint="eastAsia" w:ascii="楷体" w:hAnsi="楷体" w:eastAsia="楷体" w:cs="楷体"/>
                <w:b w:val="0"/>
                <w:bCs w:val="0"/>
                <w:sz w:val="32"/>
                <w:szCs w:val="32"/>
              </w:rPr>
              <w:t>（一）专项组织情况分析</w:t>
            </w:r>
            <w:r>
              <w:rPr>
                <w:rFonts w:hint="eastAsia" w:ascii="仿宋" w:hAnsi="仿宋" w:eastAsia="仿宋" w:cs="仿宋"/>
                <w:sz w:val="32"/>
                <w:szCs w:val="32"/>
              </w:rPr>
              <w:br w:type="textWrapping"/>
            </w:r>
            <w:r>
              <w:rPr>
                <w:rFonts w:hint="eastAsia" w:ascii="仿宋" w:hAnsi="仿宋" w:eastAsia="仿宋" w:cs="仿宋"/>
                <w:color w:val="101010"/>
                <w:sz w:val="32"/>
                <w:szCs w:val="32"/>
              </w:rPr>
              <w:t xml:space="preserve">   </w:t>
            </w:r>
            <w:r>
              <w:rPr>
                <w:rFonts w:hint="eastAsia" w:ascii="仿宋" w:hAnsi="仿宋" w:eastAsia="仿宋" w:cs="仿宋"/>
                <w:sz w:val="32"/>
                <w:szCs w:val="32"/>
              </w:rPr>
              <w:t xml:space="preserve"> 岳阳市供销社成立了绩效评价工作领导小组，负责绩效评价工作的组织领导和具体实施。评价小组采取座谈等方式听取情况，检查基本支出、项目支出有关账目，收集整理支出相关资料，并根据各科室报送的绩效自评材料进行分析，形成评价结论。 </w:t>
            </w:r>
          </w:p>
          <w:p>
            <w:pPr>
              <w:keepNext w:val="0"/>
              <w:keepLines w:val="0"/>
              <w:pageBreakBefore w:val="0"/>
              <w:widowControl/>
              <w:kinsoku/>
              <w:wordWrap/>
              <w:overflowPunct/>
              <w:topLinePunct w:val="0"/>
              <w:autoSpaceDE/>
              <w:autoSpaceDN/>
              <w:bidi w:val="0"/>
              <w:adjustRightInd/>
              <w:spacing w:line="360" w:lineRule="auto"/>
              <w:ind w:firstLine="482"/>
              <w:jc w:val="left"/>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（二）专项管理情况分析</w:t>
            </w:r>
          </w:p>
          <w:p>
            <w:pPr>
              <w:keepNext w:val="0"/>
              <w:keepLines w:val="0"/>
              <w:pageBreakBefore w:val="0"/>
              <w:widowControl/>
              <w:kinsoku/>
              <w:wordWrap/>
              <w:overflowPunct/>
              <w:topLinePunct w:val="0"/>
              <w:autoSpaceDE/>
              <w:autoSpaceDN/>
              <w:bidi w:val="0"/>
              <w:adjustRightInd/>
              <w:snapToGrid/>
              <w:spacing w:line="360" w:lineRule="auto"/>
              <w:ind w:firstLine="646" w:firstLineChars="200"/>
              <w:jc w:val="left"/>
              <w:textAlignment w:val="auto"/>
              <w:rPr>
                <w:rFonts w:hint="eastAsia" w:ascii="仿宋" w:hAnsi="仿宋" w:eastAsia="仿宋" w:cs="仿宋"/>
                <w:sz w:val="32"/>
                <w:szCs w:val="32"/>
              </w:rPr>
            </w:pPr>
            <w:r>
              <w:rPr>
                <w:rFonts w:hint="eastAsia" w:ascii="仿宋" w:hAnsi="仿宋" w:eastAsia="仿宋" w:cs="仿宋"/>
                <w:b/>
                <w:sz w:val="32"/>
                <w:szCs w:val="32"/>
              </w:rPr>
              <w:t>1．严格预算支出管理。</w:t>
            </w:r>
            <w:r>
              <w:rPr>
                <w:rFonts w:hint="eastAsia" w:ascii="仿宋" w:hAnsi="仿宋" w:eastAsia="仿宋" w:cs="仿宋"/>
                <w:sz w:val="32"/>
                <w:szCs w:val="32"/>
              </w:rPr>
              <w:t>在支出预算编制上，人员经费按照配置定额，逐人核定编制，公用经费分类分档，按定额编制；根据“总量控制、计划管理”的要求从严控制行政经费，压缩公务费开支，严格控制“三公”经费，资产的配置严格政府采购，按照预算科目和项目资金的规定使用财政资金，保障部门整体支出的规范化、制度化。</w:t>
            </w:r>
          </w:p>
          <w:p>
            <w:pPr>
              <w:keepNext w:val="0"/>
              <w:keepLines w:val="0"/>
              <w:pageBreakBefore w:val="0"/>
              <w:widowControl/>
              <w:kinsoku/>
              <w:wordWrap/>
              <w:overflowPunct/>
              <w:topLinePunct w:val="0"/>
              <w:autoSpaceDE/>
              <w:autoSpaceDN/>
              <w:bidi w:val="0"/>
              <w:adjustRightInd/>
              <w:snapToGrid/>
              <w:spacing w:line="360" w:lineRule="auto"/>
              <w:ind w:firstLine="646" w:firstLineChars="200"/>
              <w:jc w:val="left"/>
              <w:textAlignment w:val="auto"/>
              <w:rPr>
                <w:rFonts w:hint="eastAsia" w:ascii="仿宋" w:hAnsi="仿宋" w:eastAsia="仿宋" w:cs="仿宋"/>
                <w:sz w:val="32"/>
                <w:szCs w:val="32"/>
                <w:shd w:val="clear" w:color="auto" w:fill="auto"/>
              </w:rPr>
            </w:pPr>
            <w:r>
              <w:rPr>
                <w:rFonts w:hint="eastAsia" w:ascii="仿宋" w:hAnsi="仿宋" w:eastAsia="仿宋" w:cs="仿宋"/>
                <w:b/>
                <w:sz w:val="32"/>
                <w:szCs w:val="32"/>
              </w:rPr>
              <w:t>2．财务管理按制度运行。</w:t>
            </w:r>
            <w:r>
              <w:rPr>
                <w:rFonts w:hint="eastAsia" w:ascii="仿宋" w:hAnsi="仿宋" w:eastAsia="仿宋" w:cs="仿宋"/>
                <w:sz w:val="32"/>
                <w:szCs w:val="32"/>
              </w:rPr>
              <w:t>按照国家法律法规，制定了机关财务、资产配置使用、接待、因公出差、车辆使用等内部控制制度</w:t>
            </w:r>
            <w:r>
              <w:rPr>
                <w:rFonts w:hint="eastAsia" w:ascii="仿宋" w:hAnsi="仿宋" w:eastAsia="仿宋" w:cs="仿宋"/>
                <w:sz w:val="32"/>
                <w:szCs w:val="32"/>
                <w:lang w:eastAsia="zh-CN"/>
              </w:rPr>
              <w:t>。</w:t>
            </w:r>
            <w:r>
              <w:rPr>
                <w:rFonts w:hint="eastAsia" w:ascii="仿宋" w:hAnsi="仿宋" w:eastAsia="仿宋" w:cs="仿宋"/>
                <w:i w:val="0"/>
                <w:caps w:val="0"/>
                <w:color w:val="000000"/>
                <w:spacing w:val="0"/>
                <w:sz w:val="32"/>
                <w:szCs w:val="32"/>
                <w:shd w:val="clear" w:color="auto" w:fill="auto"/>
              </w:rPr>
              <w:t>在专项资金使用过程中，我</w:t>
            </w:r>
            <w:r>
              <w:rPr>
                <w:rFonts w:hint="eastAsia" w:ascii="仿宋" w:hAnsi="仿宋" w:eastAsia="仿宋" w:cs="仿宋"/>
                <w:i w:val="0"/>
                <w:caps w:val="0"/>
                <w:color w:val="000000"/>
                <w:spacing w:val="0"/>
                <w:sz w:val="32"/>
                <w:szCs w:val="32"/>
                <w:shd w:val="clear" w:color="auto" w:fill="auto"/>
                <w:lang w:val="en-US" w:eastAsia="zh-CN"/>
              </w:rPr>
              <w:t>社</w:t>
            </w:r>
            <w:r>
              <w:rPr>
                <w:rFonts w:hint="eastAsia" w:ascii="仿宋" w:hAnsi="仿宋" w:eastAsia="仿宋" w:cs="仿宋"/>
                <w:i w:val="0"/>
                <w:caps w:val="0"/>
                <w:color w:val="000000"/>
                <w:spacing w:val="0"/>
                <w:sz w:val="32"/>
                <w:szCs w:val="32"/>
                <w:shd w:val="clear" w:color="auto" w:fill="auto"/>
              </w:rPr>
              <w:t>为切实规范专项资金管理，保障资金安全，高效运行，制定了管理制度，并严格执行相关财务制度，资金拨付严格坚持先做事、后验收、再拨付的原则。</w:t>
            </w:r>
          </w:p>
          <w:p>
            <w:pPr>
              <w:spacing w:line="560" w:lineRule="exact"/>
              <w:ind w:firstLine="566" w:firstLineChars="200"/>
              <w:rPr>
                <w:rFonts w:hint="eastAsia" w:ascii="黑体" w:hAnsi="黑体" w:eastAsia="黑体" w:cs="黑体"/>
                <w:bCs/>
                <w:sz w:val="28"/>
                <w:szCs w:val="28"/>
              </w:rPr>
            </w:pPr>
            <w:r>
              <w:rPr>
                <w:rFonts w:hint="eastAsia" w:ascii="黑体" w:hAnsi="黑体" w:eastAsia="黑体" w:cs="黑体"/>
                <w:bCs/>
                <w:sz w:val="28"/>
                <w:szCs w:val="28"/>
              </w:rPr>
              <w:t>四、部门（单位）整体支出绩效情况</w:t>
            </w:r>
          </w:p>
          <w:p>
            <w:pPr>
              <w:pStyle w:val="2"/>
              <w:keepNext w:val="0"/>
              <w:keepLines w:val="0"/>
              <w:pageBreakBefore w:val="0"/>
              <w:widowControl w:val="0"/>
              <w:kinsoku/>
              <w:wordWrap/>
              <w:overflowPunct/>
              <w:topLinePunct w:val="0"/>
              <w:autoSpaceDE/>
              <w:autoSpaceDN/>
              <w:bidi w:val="0"/>
              <w:adjustRightInd/>
              <w:snapToGrid/>
              <w:spacing w:line="240" w:lineRule="auto"/>
              <w:ind w:firstLine="646"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2020年在不平凡中开启。一年来，在市委市政府的高度重视下，在省供销社的具体指导下，岳阳供销人不忘为农初心，牢记服务使命，认真总结“十三五”，谋划布局“十四五”，推动供销改革持续深化，推动市社各项工作再上新台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6" w:firstLineChars="200"/>
              <w:textAlignment w:val="auto"/>
              <w:outlineLvl w:val="0"/>
              <w:rPr>
                <w:rFonts w:hint="eastAsia" w:ascii="仿宋" w:hAnsi="仿宋" w:eastAsia="仿宋" w:cs="仿宋"/>
                <w:b/>
                <w:kern w:val="2"/>
                <w:sz w:val="32"/>
                <w:szCs w:val="32"/>
                <w:lang w:val="en-US" w:eastAsia="zh-CN" w:bidi="ar-SA"/>
              </w:rPr>
            </w:pPr>
            <w:r>
              <w:rPr>
                <w:rFonts w:hint="eastAsia" w:ascii="仿宋" w:hAnsi="仿宋" w:eastAsia="仿宋" w:cs="仿宋"/>
                <w:b/>
                <w:kern w:val="2"/>
                <w:sz w:val="32"/>
                <w:szCs w:val="32"/>
                <w:lang w:val="en-US" w:eastAsia="zh-CN" w:bidi="ar-SA"/>
              </w:rPr>
              <w:t>（一）在综合改革征程中，蹄疾步稳再开新局</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6" w:firstLineChars="200"/>
              <w:textAlignment w:val="auto"/>
              <w:outlineLvl w:val="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全市供销改革工作不断深化，供销社这块金字招牌越擦越亮，“岳阳模式”的影响力不断扩大。2020年4月，国务院副总理胡春华来岳阳调研春耕生产时，对岳阳供销改革工作给予充分肯定。全国总社党组成员、理事会副主任侯顺利等多位领导莅临岳阳调研，点赞“岳阳模式”。</w:t>
            </w:r>
            <w:r>
              <w:rPr>
                <w:rFonts w:hint="default" w:ascii="仿宋" w:hAnsi="仿宋" w:eastAsia="仿宋" w:cs="仿宋"/>
                <w:kern w:val="2"/>
                <w:sz w:val="32"/>
                <w:szCs w:val="32"/>
                <w:lang w:val="en-US" w:eastAsia="zh-CN" w:bidi="ar-SA"/>
              </w:rPr>
              <w:t>我市</w:t>
            </w:r>
            <w:r>
              <w:rPr>
                <w:rFonts w:hint="eastAsia" w:ascii="仿宋" w:hAnsi="仿宋" w:eastAsia="仿宋" w:cs="仿宋"/>
                <w:kern w:val="2"/>
                <w:sz w:val="32"/>
                <w:szCs w:val="32"/>
                <w:lang w:val="en-US" w:eastAsia="zh-CN" w:bidi="ar-SA"/>
              </w:rPr>
              <w:t>供销改革入选全国供销总社遴选的19个全国系统典型案例、湖南基层改革探索100例；岳阳新三湘农资有限公司等两家单位入选全国系统金扁担改革贡献奖，汨罗市供销社理事会主任张克昌入选红背篓精神传承奖；平江县社、汨罗市社被全国供销合作总社评为“全国百强县级社，华容县插旗镇供销社等14家基层社被评为“基层社标杆社”。组织召开岳阳市供销合作社第二次代表大会，以法定形式总结5年来的改革成效，选举产生新一届领导班子；发起并成立岳阳市农村合作经济组织联合会，全市农村合作经济进入新的发展时期。改革成效不断凸显。全市供销系统托管（流转）土地160余万亩，统防统治420万亩次，无人机植保飞防作业范围不断扩大。农资供应主渠道地位不断恢复，市场占有率持续增加，在防疫保耕中发挥了积极作用，系统化肥价格平均每吨比市场价低300-500元，种子、农药平均比市场价低20%-30%，社会效益明显增强。农产品流通渠道不断拓展，线上线下资源有效激活，优势集成，全年系统农村电商经营额达42.34亿元。系统信用体系建设稳步推进，累计推荐贷款1.2亿元。黄茶产业品牌建设成效显著，全市茶叶综合产值达到53亿元，基地建设、茶文旅一体化发展均有序推进。</w:t>
            </w:r>
          </w:p>
          <w:p>
            <w:pPr>
              <w:pStyle w:val="2"/>
              <w:keepNext w:val="0"/>
              <w:keepLines w:val="0"/>
              <w:pageBreakBefore w:val="0"/>
              <w:widowControl w:val="0"/>
              <w:kinsoku/>
              <w:wordWrap/>
              <w:overflowPunct/>
              <w:topLinePunct w:val="0"/>
              <w:autoSpaceDE/>
              <w:autoSpaceDN/>
              <w:bidi w:val="0"/>
              <w:adjustRightInd/>
              <w:snapToGrid/>
              <w:spacing w:line="240" w:lineRule="auto"/>
              <w:ind w:firstLine="646" w:firstLineChars="200"/>
              <w:textAlignment w:val="auto"/>
              <w:rPr>
                <w:rFonts w:hint="eastAsia" w:ascii="仿宋" w:hAnsi="仿宋" w:eastAsia="仿宋" w:cs="仿宋"/>
                <w:b/>
                <w:kern w:val="2"/>
                <w:sz w:val="32"/>
                <w:szCs w:val="32"/>
                <w:lang w:val="en-US" w:eastAsia="zh-CN" w:bidi="ar-SA"/>
              </w:rPr>
            </w:pPr>
            <w:r>
              <w:rPr>
                <w:rFonts w:hint="eastAsia" w:ascii="仿宋" w:hAnsi="仿宋" w:eastAsia="仿宋" w:cs="仿宋"/>
                <w:b/>
                <w:kern w:val="2"/>
                <w:sz w:val="32"/>
                <w:szCs w:val="32"/>
                <w:lang w:val="en-US" w:eastAsia="zh-CN" w:bidi="ar-SA"/>
              </w:rPr>
              <w:t>（二）在脱贫攻坚战场上，义无反顾勇挑重担</w:t>
            </w:r>
          </w:p>
          <w:p>
            <w:pPr>
              <w:pStyle w:val="2"/>
              <w:keepNext w:val="0"/>
              <w:keepLines w:val="0"/>
              <w:pageBreakBefore w:val="0"/>
              <w:widowControl w:val="0"/>
              <w:kinsoku/>
              <w:wordWrap/>
              <w:overflowPunct/>
              <w:topLinePunct w:val="0"/>
              <w:autoSpaceDE/>
              <w:autoSpaceDN/>
              <w:bidi w:val="0"/>
              <w:adjustRightInd/>
              <w:snapToGrid/>
              <w:spacing w:line="240" w:lineRule="auto"/>
              <w:ind w:firstLine="646"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在消费扶贫中发挥牵头作用。出台指导性方案，组织召开全市性大会，明确目标任务，督促落实举措，在</w:t>
            </w:r>
            <w:r>
              <w:rPr>
                <w:rFonts w:hint="default" w:ascii="仿宋" w:hAnsi="仿宋" w:eastAsia="仿宋" w:cs="仿宋"/>
                <w:kern w:val="2"/>
                <w:sz w:val="32"/>
                <w:szCs w:val="32"/>
                <w:lang w:val="en-US" w:eastAsia="zh-CN" w:bidi="ar-SA"/>
              </w:rPr>
              <w:t>各县市区和</w:t>
            </w:r>
            <w:r>
              <w:rPr>
                <w:rFonts w:hint="eastAsia" w:ascii="仿宋" w:hAnsi="仿宋" w:eastAsia="仿宋" w:cs="仿宋"/>
                <w:kern w:val="2"/>
                <w:sz w:val="32"/>
                <w:szCs w:val="32"/>
                <w:lang w:val="en-US" w:eastAsia="zh-CN" w:bidi="ar-SA"/>
              </w:rPr>
              <w:t>相关部门的大力配合下</w:t>
            </w:r>
            <w:r>
              <w:rPr>
                <w:rFonts w:hint="default" w:ascii="仿宋" w:hAnsi="仿宋" w:eastAsia="仿宋" w:cs="仿宋"/>
                <w:kern w:val="2"/>
                <w:sz w:val="32"/>
                <w:szCs w:val="32"/>
                <w:lang w:val="en-US" w:eastAsia="zh-CN" w:bidi="ar-SA"/>
              </w:rPr>
              <w:t>，全市上线省</w:t>
            </w:r>
            <w:r>
              <w:rPr>
                <w:rFonts w:hint="eastAsia" w:ascii="仿宋" w:hAnsi="仿宋" w:eastAsia="仿宋" w:cs="仿宋"/>
                <w:kern w:val="2"/>
                <w:sz w:val="32"/>
                <w:szCs w:val="32"/>
                <w:lang w:val="en-US" w:eastAsia="zh-CN" w:bidi="ar-SA"/>
              </w:rPr>
              <w:t>扶贫</w:t>
            </w:r>
            <w:r>
              <w:rPr>
                <w:rFonts w:hint="default" w:ascii="仿宋" w:hAnsi="仿宋" w:eastAsia="仿宋" w:cs="仿宋"/>
                <w:kern w:val="2"/>
                <w:sz w:val="32"/>
                <w:szCs w:val="32"/>
                <w:lang w:val="en-US" w:eastAsia="zh-CN" w:bidi="ar-SA"/>
              </w:rPr>
              <w:t>办公示认定</w:t>
            </w:r>
            <w:r>
              <w:rPr>
                <w:rFonts w:hint="eastAsia" w:ascii="仿宋" w:hAnsi="仿宋" w:eastAsia="仿宋" w:cs="仿宋"/>
                <w:kern w:val="2"/>
                <w:sz w:val="32"/>
                <w:szCs w:val="32"/>
                <w:lang w:val="en-US" w:eastAsia="zh-CN" w:bidi="ar-SA"/>
              </w:rPr>
              <w:t>1108</w:t>
            </w:r>
            <w:r>
              <w:rPr>
                <w:rFonts w:hint="default" w:ascii="仿宋" w:hAnsi="仿宋" w:eastAsia="仿宋" w:cs="仿宋"/>
                <w:kern w:val="2"/>
                <w:sz w:val="32"/>
                <w:szCs w:val="32"/>
                <w:lang w:val="en-US" w:eastAsia="zh-CN" w:bidi="ar-SA"/>
              </w:rPr>
              <w:t>个扶贫产品和198个供应商；在全国消费扶贫工作系统</w:t>
            </w:r>
            <w:r>
              <w:rPr>
                <w:rFonts w:hint="eastAsia" w:ascii="仿宋" w:hAnsi="仿宋" w:eastAsia="仿宋" w:cs="仿宋"/>
                <w:kern w:val="2"/>
                <w:sz w:val="32"/>
                <w:szCs w:val="32"/>
                <w:lang w:val="en-US" w:eastAsia="zh-CN" w:bidi="ar-SA"/>
              </w:rPr>
              <w:t>中</w:t>
            </w:r>
            <w:r>
              <w:rPr>
                <w:rFonts w:hint="default" w:ascii="仿宋" w:hAnsi="仿宋" w:eastAsia="仿宋" w:cs="仿宋"/>
                <w:kern w:val="2"/>
                <w:sz w:val="32"/>
                <w:szCs w:val="32"/>
                <w:lang w:val="en-US" w:eastAsia="zh-CN" w:bidi="ar-SA"/>
              </w:rPr>
              <w:t>，共完成申报443个扶贫产品，审核通过187家供应商。全市</w:t>
            </w:r>
            <w:r>
              <w:rPr>
                <w:rFonts w:hint="eastAsia" w:ascii="仿宋" w:hAnsi="仿宋" w:eastAsia="仿宋" w:cs="仿宋"/>
                <w:kern w:val="2"/>
                <w:sz w:val="32"/>
                <w:szCs w:val="32"/>
                <w:lang w:val="en-US" w:eastAsia="zh-CN" w:bidi="ar-SA"/>
              </w:rPr>
              <w:t>完成</w:t>
            </w:r>
            <w:r>
              <w:rPr>
                <w:rFonts w:hint="default" w:ascii="仿宋" w:hAnsi="仿宋" w:eastAsia="仿宋" w:cs="仿宋"/>
                <w:kern w:val="2"/>
                <w:sz w:val="32"/>
                <w:szCs w:val="32"/>
                <w:lang w:val="en-US" w:eastAsia="zh-CN" w:bidi="ar-SA"/>
              </w:rPr>
              <w:t>消费扶贫总额为11.2亿元，</w:t>
            </w:r>
            <w:r>
              <w:rPr>
                <w:rFonts w:hint="eastAsia" w:ascii="仿宋" w:hAnsi="仿宋" w:eastAsia="仿宋" w:cs="仿宋"/>
                <w:kern w:val="2"/>
                <w:sz w:val="32"/>
                <w:szCs w:val="32"/>
                <w:lang w:val="en-US" w:eastAsia="zh-CN" w:bidi="ar-SA"/>
              </w:rPr>
              <w:t>累计带贫人数24.34万人。</w:t>
            </w:r>
            <w:r>
              <w:rPr>
                <w:rFonts w:hint="default" w:ascii="仿宋" w:hAnsi="仿宋" w:eastAsia="仿宋" w:cs="仿宋"/>
                <w:kern w:val="2"/>
                <w:sz w:val="32"/>
                <w:szCs w:val="32"/>
                <w:lang w:val="en-US" w:eastAsia="zh-CN" w:bidi="ar-SA"/>
              </w:rPr>
              <w:t>超额完成财政采购预留份额</w:t>
            </w:r>
            <w:r>
              <w:rPr>
                <w:rFonts w:hint="eastAsia" w:ascii="仿宋" w:hAnsi="仿宋" w:eastAsia="仿宋" w:cs="仿宋"/>
                <w:kern w:val="2"/>
                <w:sz w:val="32"/>
                <w:szCs w:val="32"/>
                <w:lang w:val="en-US" w:eastAsia="zh-CN" w:bidi="ar-SA"/>
              </w:rPr>
              <w:t>。</w:t>
            </w:r>
            <w:r>
              <w:rPr>
                <w:rFonts w:hint="default" w:ascii="仿宋" w:hAnsi="仿宋" w:eastAsia="仿宋" w:cs="仿宋"/>
                <w:kern w:val="2"/>
                <w:sz w:val="32"/>
                <w:szCs w:val="32"/>
                <w:lang w:val="en-US" w:eastAsia="zh-CN" w:bidi="ar-SA"/>
              </w:rPr>
              <w:t>对接落实保靖扶贫产品采购任务</w:t>
            </w:r>
            <w:r>
              <w:rPr>
                <w:rFonts w:hint="eastAsia" w:ascii="仿宋" w:hAnsi="仿宋" w:eastAsia="仿宋" w:cs="仿宋"/>
                <w:kern w:val="2"/>
                <w:sz w:val="32"/>
                <w:szCs w:val="32"/>
                <w:lang w:val="en-US" w:eastAsia="zh-CN" w:bidi="ar-SA"/>
              </w:rPr>
              <w:t>近400万</w:t>
            </w:r>
            <w:r>
              <w:rPr>
                <w:rFonts w:hint="default" w:ascii="仿宋" w:hAnsi="仿宋" w:eastAsia="仿宋" w:cs="仿宋"/>
                <w:kern w:val="2"/>
                <w:sz w:val="32"/>
                <w:szCs w:val="32"/>
                <w:lang w:val="en-US" w:eastAsia="zh-CN" w:bidi="ar-SA"/>
              </w:rPr>
              <w:t>元。</w:t>
            </w:r>
            <w:r>
              <w:rPr>
                <w:rFonts w:hint="eastAsia" w:ascii="仿宋" w:hAnsi="仿宋" w:eastAsia="仿宋" w:cs="仿宋"/>
                <w:kern w:val="2"/>
                <w:sz w:val="32"/>
                <w:szCs w:val="32"/>
                <w:lang w:val="en-US" w:eastAsia="zh-CN" w:bidi="ar-SA"/>
              </w:rPr>
              <w:t>有效搭建了</w:t>
            </w:r>
            <w:r>
              <w:rPr>
                <w:rFonts w:hint="default" w:ascii="仿宋" w:hAnsi="仿宋" w:eastAsia="仿宋" w:cs="仿宋"/>
                <w:kern w:val="2"/>
                <w:sz w:val="32"/>
                <w:szCs w:val="32"/>
                <w:lang w:val="en-US" w:eastAsia="zh-CN" w:bidi="ar-SA"/>
              </w:rPr>
              <w:t>“三专一平台”</w:t>
            </w:r>
            <w:r>
              <w:rPr>
                <w:rFonts w:hint="eastAsia" w:ascii="仿宋" w:hAnsi="仿宋" w:eastAsia="仿宋" w:cs="仿宋"/>
                <w:kern w:val="2"/>
                <w:sz w:val="32"/>
                <w:szCs w:val="32"/>
                <w:lang w:val="en-US" w:eastAsia="zh-CN" w:bidi="ar-SA"/>
              </w:rPr>
              <w:t>，</w:t>
            </w:r>
            <w:r>
              <w:rPr>
                <w:rFonts w:hint="default" w:ascii="仿宋" w:hAnsi="仿宋" w:eastAsia="仿宋" w:cs="仿宋"/>
                <w:kern w:val="2"/>
                <w:sz w:val="32"/>
                <w:szCs w:val="32"/>
                <w:lang w:val="en-US" w:eastAsia="zh-CN" w:bidi="ar-SA"/>
              </w:rPr>
              <w:t>全市共建成消费扶贫专馆16个</w:t>
            </w:r>
            <w:r>
              <w:rPr>
                <w:rFonts w:hint="eastAsia" w:ascii="仿宋" w:hAnsi="仿宋" w:eastAsia="仿宋" w:cs="仿宋"/>
                <w:kern w:val="2"/>
                <w:sz w:val="32"/>
                <w:szCs w:val="32"/>
                <w:lang w:val="en-US" w:eastAsia="zh-CN" w:bidi="ar-SA"/>
              </w:rPr>
              <w:t>、</w:t>
            </w:r>
            <w:r>
              <w:rPr>
                <w:rFonts w:hint="default" w:ascii="仿宋" w:hAnsi="仿宋" w:eastAsia="仿宋" w:cs="仿宋"/>
                <w:kern w:val="2"/>
                <w:sz w:val="32"/>
                <w:szCs w:val="32"/>
                <w:lang w:val="en-US" w:eastAsia="zh-CN" w:bidi="ar-SA"/>
              </w:rPr>
              <w:t>消费扶贫专区61个，安装消费扶贫专柜</w:t>
            </w:r>
            <w:r>
              <w:rPr>
                <w:rFonts w:hint="eastAsia" w:ascii="仿宋" w:hAnsi="仿宋" w:eastAsia="仿宋" w:cs="仿宋"/>
                <w:kern w:val="2"/>
                <w:sz w:val="32"/>
                <w:szCs w:val="32"/>
                <w:lang w:val="en-US" w:eastAsia="zh-CN" w:bidi="ar-SA"/>
              </w:rPr>
              <w:t>1245</w:t>
            </w:r>
            <w:r>
              <w:rPr>
                <w:rFonts w:hint="default" w:ascii="仿宋" w:hAnsi="仿宋" w:eastAsia="仿宋" w:cs="仿宋"/>
                <w:kern w:val="2"/>
                <w:sz w:val="32"/>
                <w:szCs w:val="32"/>
                <w:lang w:val="en-US" w:eastAsia="zh-CN" w:bidi="ar-SA"/>
              </w:rPr>
              <w:t>台</w:t>
            </w:r>
            <w:r>
              <w:rPr>
                <w:rFonts w:hint="eastAsia" w:ascii="仿宋" w:hAnsi="仿宋" w:eastAsia="仿宋" w:cs="仿宋"/>
                <w:kern w:val="2"/>
                <w:sz w:val="32"/>
                <w:szCs w:val="32"/>
                <w:lang w:val="en-US" w:eastAsia="zh-CN" w:bidi="ar-SA"/>
              </w:rPr>
              <w:t>，“岳阳消费扶贫网”在全市扶贫产品组织上行中发挥了引领作用。在稳岗就业和产业扶贫上发挥积极作用，全市供销系统提供固定性就业岗位3800多个，季节性就业岗位3万多个，岗位人均收入达到1.5－3.5万元，如平江县社承办来料加工服务等有效促进了贫困户就业，巩固了脱贫成效。各乡镇供销社指导贫困村组建专业合作社，发展稻虾套养、艾叶等产业，共引导4000多个贫困户入社，帮助15000多人成功脱贫。在驻村联点扶贫中发挥后盾作用，保持了人员不撤、力量不减、支持不变，持续巩固了阪陂村的脱贫成效。</w:t>
            </w:r>
          </w:p>
          <w:p>
            <w:pPr>
              <w:spacing w:line="560" w:lineRule="exact"/>
              <w:ind w:firstLine="566" w:firstLineChars="200"/>
              <w:rPr>
                <w:rFonts w:hint="eastAsia" w:ascii="黑体" w:hAnsi="黑体" w:eastAsia="黑体" w:cs="黑体"/>
                <w:bCs/>
                <w:sz w:val="28"/>
                <w:szCs w:val="28"/>
              </w:rPr>
            </w:pPr>
            <w:r>
              <w:rPr>
                <w:rFonts w:hint="eastAsia" w:ascii="黑体" w:hAnsi="黑体" w:eastAsia="黑体" w:cs="黑体"/>
                <w:bCs/>
                <w:sz w:val="28"/>
                <w:szCs w:val="28"/>
              </w:rPr>
              <w:t>五、存在的主要问题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23" w:firstLineChars="100"/>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1、预算资金不足，工作推动存在困难。</w:t>
            </w:r>
          </w:p>
          <w:p>
            <w:pPr>
              <w:pStyle w:val="2"/>
              <w:ind w:firstLine="323" w:firstLineChars="100"/>
              <w:rPr>
                <w:rFonts w:hint="default"/>
                <w:lang w:val="en-US"/>
              </w:rPr>
            </w:pPr>
            <w:r>
              <w:rPr>
                <w:rFonts w:hint="eastAsia" w:ascii="仿宋" w:hAnsi="仿宋" w:eastAsia="仿宋" w:cs="仿宋"/>
                <w:color w:val="000000"/>
                <w:sz w:val="32"/>
                <w:szCs w:val="32"/>
                <w:lang w:val="en-US" w:eastAsia="zh-CN"/>
              </w:rPr>
              <w:t>2、绩效评价工作机制有待完善。</w:t>
            </w:r>
          </w:p>
          <w:p>
            <w:pPr>
              <w:spacing w:line="560" w:lineRule="exact"/>
              <w:ind w:firstLine="566" w:firstLineChars="200"/>
              <w:rPr>
                <w:rFonts w:hint="eastAsia" w:ascii="黑体" w:hAnsi="黑体" w:eastAsia="黑体" w:cs="黑体"/>
                <w:bCs/>
                <w:sz w:val="28"/>
                <w:szCs w:val="28"/>
              </w:rPr>
            </w:pPr>
            <w:r>
              <w:rPr>
                <w:rFonts w:hint="eastAsia" w:ascii="黑体" w:hAnsi="黑体" w:eastAsia="黑体" w:cs="黑体"/>
                <w:bCs/>
                <w:sz w:val="28"/>
                <w:szCs w:val="28"/>
              </w:rPr>
              <w:t>六、改进措施和有关建议</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6" w:firstLineChars="200"/>
              <w:jc w:val="both"/>
              <w:textAlignment w:val="auto"/>
              <w:rPr>
                <w:rFonts w:hint="eastAsia" w:ascii="仿宋" w:hAnsi="仿宋" w:eastAsia="仿宋" w:cs="仿宋"/>
                <w:color w:val="000000"/>
                <w:sz w:val="32"/>
                <w:szCs w:val="32"/>
              </w:rPr>
            </w:pPr>
            <w:r>
              <w:rPr>
                <w:rFonts w:hint="eastAsia" w:ascii="仿宋" w:hAnsi="仿宋" w:eastAsia="仿宋" w:cs="仿宋"/>
                <w:b w:val="0"/>
                <w:bCs w:val="0"/>
                <w:color w:val="000000"/>
                <w:sz w:val="32"/>
                <w:szCs w:val="32"/>
                <w:lang w:val="en-US" w:eastAsia="zh-CN"/>
              </w:rPr>
              <w:t>改进措施：争资争项，争取政策支持，做大做强社有企业；更高质量开展绩效评价工作，提高资金使用效率；</w:t>
            </w:r>
            <w:r>
              <w:rPr>
                <w:rFonts w:hint="eastAsia" w:ascii="仿宋" w:hAnsi="仿宋" w:eastAsia="仿宋" w:cs="仿宋"/>
                <w:color w:val="000000"/>
                <w:sz w:val="32"/>
                <w:szCs w:val="32"/>
              </w:rPr>
              <w:t>加强预算监管，强化预算监督</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加强财务管理，严把支出审核关</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严格执行财务管理制度，规范各项支出审核，严防超支，促进财务管理的法制化、科学化、合理化运行</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强化财务专业知识学习，提升专业素养。</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6" w:firstLineChars="200"/>
              <w:jc w:val="both"/>
              <w:textAlignment w:val="auto"/>
              <w:rPr>
                <w:rFonts w:hint="default" w:ascii="仿宋" w:hAnsi="仿宋" w:eastAsia="仿宋" w:cs="仿宋"/>
                <w:color w:val="000000"/>
                <w:sz w:val="32"/>
                <w:szCs w:val="32"/>
                <w:lang w:val="en-US"/>
              </w:rPr>
            </w:pPr>
            <w:r>
              <w:rPr>
                <w:rFonts w:hint="eastAsia" w:ascii="仿宋" w:hAnsi="仿宋" w:eastAsia="仿宋" w:cs="仿宋"/>
                <w:color w:val="000000"/>
                <w:sz w:val="32"/>
                <w:szCs w:val="32"/>
                <w:lang w:val="en-US" w:eastAsia="zh-CN"/>
              </w:rPr>
              <w:t>有关建议：建立健全绩效评价工作机制，开展绩效评价工作相关培训学习或进行先进典型案例分析，提高业务水平。</w:t>
            </w:r>
          </w:p>
          <w:p>
            <w:pPr>
              <w:pStyle w:val="8"/>
              <w:spacing w:before="0" w:beforeAutospacing="0" w:after="0" w:afterAutospacing="0" w:line="600" w:lineRule="exact"/>
              <w:ind w:firstLine="646" w:firstLineChars="200"/>
              <w:jc w:val="center"/>
              <w:rPr>
                <w:rFonts w:hint="eastAsia" w:ascii="仿宋" w:hAnsi="仿宋" w:eastAsia="仿宋" w:cs="仿宋"/>
                <w:color w:val="010101"/>
                <w:sz w:val="32"/>
                <w:szCs w:val="32"/>
              </w:rPr>
            </w:pPr>
            <w:r>
              <w:rPr>
                <w:rFonts w:hint="eastAsia" w:ascii="仿宋" w:hAnsi="仿宋" w:eastAsia="仿宋" w:cs="仿宋"/>
                <w:color w:val="010101"/>
                <w:sz w:val="32"/>
                <w:szCs w:val="32"/>
                <w:lang w:val="en-US" w:eastAsia="zh-CN"/>
              </w:rPr>
              <w:t xml:space="preserve">                </w:t>
            </w:r>
            <w:r>
              <w:rPr>
                <w:rFonts w:hint="eastAsia" w:ascii="仿宋" w:hAnsi="仿宋" w:eastAsia="仿宋" w:cs="仿宋"/>
                <w:color w:val="010101"/>
                <w:sz w:val="32"/>
                <w:szCs w:val="32"/>
              </w:rPr>
              <w:t>岳阳市供销合作联社</w:t>
            </w:r>
          </w:p>
          <w:p>
            <w:pPr>
              <w:pStyle w:val="2"/>
              <w:ind w:firstLine="5168" w:firstLineChars="1600"/>
              <w:rPr>
                <w:rFonts w:hint="default" w:eastAsia="宋体"/>
                <w:lang w:val="en-US" w:eastAsia="zh-CN"/>
              </w:rPr>
            </w:pPr>
            <w:r>
              <w:rPr>
                <w:rFonts w:hint="eastAsia" w:ascii="仿宋" w:hAnsi="仿宋" w:eastAsia="仿宋" w:cs="仿宋"/>
                <w:color w:val="010101"/>
                <w:sz w:val="32"/>
                <w:szCs w:val="32"/>
                <w:lang w:val="en-US" w:eastAsia="zh-CN"/>
              </w:rPr>
              <w:t>2021年6月8日</w:t>
            </w:r>
          </w:p>
          <w:p>
            <w:pPr>
              <w:rPr>
                <w:rFonts w:eastAsia="楷体_GB2312"/>
                <w:bCs/>
                <w:sz w:val="28"/>
                <w:szCs w:val="28"/>
              </w:rPr>
            </w:pPr>
          </w:p>
        </w:tc>
      </w:tr>
    </w:tbl>
    <w:p>
      <w:pPr>
        <w:ind w:firstLine="646"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0" w:num="1"/>
      <w:rtlGutter w:val="0"/>
      <w:docGrid w:type="linesAndChars" w:linePitch="312" w:charSpace="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89BB56"/>
    <w:multiLevelType w:val="singleLevel"/>
    <w:tmpl w:val="9089BB56"/>
    <w:lvl w:ilvl="0" w:tentative="0">
      <w:start w:val="2"/>
      <w:numFmt w:val="decimal"/>
      <w:lvlText w:val="%1."/>
      <w:lvlJc w:val="left"/>
      <w:pPr>
        <w:tabs>
          <w:tab w:val="left" w:pos="312"/>
        </w:tabs>
      </w:pPr>
    </w:lvl>
  </w:abstractNum>
  <w:abstractNum w:abstractNumId="1">
    <w:nsid w:val="F7DD0FD4"/>
    <w:multiLevelType w:val="singleLevel"/>
    <w:tmpl w:val="F7DD0FD4"/>
    <w:lvl w:ilvl="0" w:tentative="0">
      <w:start w:val="2"/>
      <w:numFmt w:val="chineseCounting"/>
      <w:suff w:val="nothing"/>
      <w:lvlText w:val="%1、"/>
      <w:lvlJc w:val="left"/>
      <w:rPr>
        <w:rFonts w:hint="eastAsia"/>
      </w:rPr>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2E0BBDD"/>
    <w:multiLevelType w:val="singleLevel"/>
    <w:tmpl w:val="52E0BBDD"/>
    <w:lvl w:ilvl="0" w:tentative="0">
      <w:start w:val="2"/>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7"/>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15B7"/>
    <w:rsid w:val="00041E3F"/>
    <w:rsid w:val="00055DAA"/>
    <w:rsid w:val="00061F7B"/>
    <w:rsid w:val="000658A3"/>
    <w:rsid w:val="00074155"/>
    <w:rsid w:val="000A3F69"/>
    <w:rsid w:val="000E3EB2"/>
    <w:rsid w:val="00103957"/>
    <w:rsid w:val="00152C6D"/>
    <w:rsid w:val="00162D39"/>
    <w:rsid w:val="001678BD"/>
    <w:rsid w:val="00185DB4"/>
    <w:rsid w:val="001A67DB"/>
    <w:rsid w:val="001C3C29"/>
    <w:rsid w:val="001D4F1A"/>
    <w:rsid w:val="001D51E5"/>
    <w:rsid w:val="001E080D"/>
    <w:rsid w:val="001E53D0"/>
    <w:rsid w:val="001F0C3B"/>
    <w:rsid w:val="00202C82"/>
    <w:rsid w:val="00210B4D"/>
    <w:rsid w:val="00214427"/>
    <w:rsid w:val="00226CB7"/>
    <w:rsid w:val="00264552"/>
    <w:rsid w:val="00264EF9"/>
    <w:rsid w:val="00265724"/>
    <w:rsid w:val="0027426B"/>
    <w:rsid w:val="002D7169"/>
    <w:rsid w:val="002E0A30"/>
    <w:rsid w:val="003130C4"/>
    <w:rsid w:val="00316C4B"/>
    <w:rsid w:val="0032192B"/>
    <w:rsid w:val="003479BD"/>
    <w:rsid w:val="00353197"/>
    <w:rsid w:val="0037197D"/>
    <w:rsid w:val="003768D5"/>
    <w:rsid w:val="003C47E6"/>
    <w:rsid w:val="003C4FC2"/>
    <w:rsid w:val="00416E61"/>
    <w:rsid w:val="0042790C"/>
    <w:rsid w:val="004506F9"/>
    <w:rsid w:val="004717A2"/>
    <w:rsid w:val="00473DF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B74B2"/>
    <w:rsid w:val="005D4D55"/>
    <w:rsid w:val="005E2CFB"/>
    <w:rsid w:val="005F3D1C"/>
    <w:rsid w:val="0062378F"/>
    <w:rsid w:val="00641842"/>
    <w:rsid w:val="00651EEC"/>
    <w:rsid w:val="00691E8C"/>
    <w:rsid w:val="006A22C4"/>
    <w:rsid w:val="006A351B"/>
    <w:rsid w:val="006B0422"/>
    <w:rsid w:val="006C1B53"/>
    <w:rsid w:val="006D7730"/>
    <w:rsid w:val="006E5284"/>
    <w:rsid w:val="006F3EB5"/>
    <w:rsid w:val="00702E34"/>
    <w:rsid w:val="00704395"/>
    <w:rsid w:val="00717006"/>
    <w:rsid w:val="00717621"/>
    <w:rsid w:val="00720FF1"/>
    <w:rsid w:val="00727A53"/>
    <w:rsid w:val="00770C9A"/>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05F0E"/>
    <w:rsid w:val="00D148C6"/>
    <w:rsid w:val="00D17A8A"/>
    <w:rsid w:val="00D415BA"/>
    <w:rsid w:val="00D644EE"/>
    <w:rsid w:val="00DD06FF"/>
    <w:rsid w:val="00DD5FE9"/>
    <w:rsid w:val="00E00C7A"/>
    <w:rsid w:val="00E37D6C"/>
    <w:rsid w:val="00E55B68"/>
    <w:rsid w:val="00E67BE6"/>
    <w:rsid w:val="00E8683C"/>
    <w:rsid w:val="00EA2B72"/>
    <w:rsid w:val="00F74360"/>
    <w:rsid w:val="00FB462F"/>
    <w:rsid w:val="00FE16FA"/>
    <w:rsid w:val="00FE328A"/>
    <w:rsid w:val="00FE6269"/>
    <w:rsid w:val="018362EB"/>
    <w:rsid w:val="0C41676A"/>
    <w:rsid w:val="0D552D42"/>
    <w:rsid w:val="101747CE"/>
    <w:rsid w:val="11803AAD"/>
    <w:rsid w:val="11D37011"/>
    <w:rsid w:val="139D19DD"/>
    <w:rsid w:val="15A63ED9"/>
    <w:rsid w:val="172D05AB"/>
    <w:rsid w:val="174C04F9"/>
    <w:rsid w:val="1D0719DA"/>
    <w:rsid w:val="1EBE0805"/>
    <w:rsid w:val="20416788"/>
    <w:rsid w:val="20687C91"/>
    <w:rsid w:val="20E84BB8"/>
    <w:rsid w:val="21490294"/>
    <w:rsid w:val="21F74FC9"/>
    <w:rsid w:val="22072D86"/>
    <w:rsid w:val="23782395"/>
    <w:rsid w:val="24D333E3"/>
    <w:rsid w:val="25255EF1"/>
    <w:rsid w:val="26652292"/>
    <w:rsid w:val="26AF7596"/>
    <w:rsid w:val="27356D08"/>
    <w:rsid w:val="2BAA6047"/>
    <w:rsid w:val="2CD637D5"/>
    <w:rsid w:val="31146F47"/>
    <w:rsid w:val="31AB2916"/>
    <w:rsid w:val="32A97F86"/>
    <w:rsid w:val="33B631E3"/>
    <w:rsid w:val="34011788"/>
    <w:rsid w:val="35C52D68"/>
    <w:rsid w:val="386E520A"/>
    <w:rsid w:val="38FA7AE6"/>
    <w:rsid w:val="3A802098"/>
    <w:rsid w:val="3B966B94"/>
    <w:rsid w:val="401736B2"/>
    <w:rsid w:val="41996F43"/>
    <w:rsid w:val="47C9051E"/>
    <w:rsid w:val="48477F86"/>
    <w:rsid w:val="4A84712D"/>
    <w:rsid w:val="4AC90AED"/>
    <w:rsid w:val="4F3A4A90"/>
    <w:rsid w:val="519D7DA1"/>
    <w:rsid w:val="52B109D4"/>
    <w:rsid w:val="53BE7F58"/>
    <w:rsid w:val="543C713D"/>
    <w:rsid w:val="57507A0B"/>
    <w:rsid w:val="57923D07"/>
    <w:rsid w:val="59CF2B8C"/>
    <w:rsid w:val="5A2E7FD4"/>
    <w:rsid w:val="5AEC1124"/>
    <w:rsid w:val="635A1C12"/>
    <w:rsid w:val="63A43EFE"/>
    <w:rsid w:val="650C50F9"/>
    <w:rsid w:val="67DE415F"/>
    <w:rsid w:val="68402252"/>
    <w:rsid w:val="6BE03352"/>
    <w:rsid w:val="6E1C2A14"/>
    <w:rsid w:val="74352C8B"/>
    <w:rsid w:val="76AB019D"/>
    <w:rsid w:val="77F80614"/>
    <w:rsid w:val="794E62D4"/>
    <w:rsid w:val="79645002"/>
    <w:rsid w:val="79B044F7"/>
    <w:rsid w:val="7A223B6A"/>
    <w:rsid w:val="7C4958B0"/>
    <w:rsid w:val="7E713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3"/>
    <w:qFormat/>
    <w:uiPriority w:val="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44"/>
      <w:sz w:val="24"/>
      <w:szCs w:val="24"/>
      <w:lang w:val="en-US" w:eastAsia="zh-CN" w:bidi="ar"/>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99"/>
    <w:rPr>
      <w:rFonts w:ascii="宋体" w:hAnsi="Courier New" w:eastAsia="宋体" w:cs="Courier New"/>
      <w:szCs w:val="21"/>
    </w:rPr>
  </w:style>
  <w:style w:type="paragraph" w:styleId="4">
    <w:name w:val="Normal Indent"/>
    <w:basedOn w:val="1"/>
    <w:unhideWhenUsed/>
    <w:qFormat/>
    <w:uiPriority w:val="99"/>
    <w:pPr>
      <w:ind w:firstLine="420" w:firstLineChars="200"/>
    </w:pPr>
  </w:style>
  <w:style w:type="paragraph" w:styleId="5">
    <w:name w:val="Balloon Text"/>
    <w:basedOn w:val="1"/>
    <w:link w:val="21"/>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page number"/>
    <w:qFormat/>
    <w:uiPriority w:val="0"/>
  </w:style>
  <w:style w:type="character" w:styleId="12">
    <w:name w:val="FollowedHyperlink"/>
    <w:basedOn w:val="10"/>
    <w:semiHidden/>
    <w:unhideWhenUsed/>
    <w:uiPriority w:val="99"/>
    <w:rPr>
      <w:color w:val="252525"/>
      <w:u w:val="none"/>
    </w:rPr>
  </w:style>
  <w:style w:type="character" w:styleId="13">
    <w:name w:val="Emphasis"/>
    <w:basedOn w:val="10"/>
    <w:qFormat/>
    <w:uiPriority w:val="20"/>
  </w:style>
  <w:style w:type="character" w:styleId="14">
    <w:name w:val="Hyperlink"/>
    <w:basedOn w:val="10"/>
    <w:semiHidden/>
    <w:unhideWhenUsed/>
    <w:uiPriority w:val="99"/>
    <w:rPr>
      <w:color w:val="252525"/>
      <w:u w:val="none"/>
    </w:rPr>
  </w:style>
  <w:style w:type="character" w:styleId="15">
    <w:name w:val="HTML Code"/>
    <w:basedOn w:val="10"/>
    <w:semiHidden/>
    <w:unhideWhenUsed/>
    <w:uiPriority w:val="99"/>
    <w:rPr>
      <w:rFonts w:ascii="Courier New" w:hAnsi="Courier New"/>
      <w:sz w:val="20"/>
    </w:rPr>
  </w:style>
  <w:style w:type="character" w:styleId="16">
    <w:name w:val="HTML Cite"/>
    <w:basedOn w:val="10"/>
    <w:semiHidden/>
    <w:unhideWhenUsed/>
    <w:uiPriority w:val="99"/>
  </w:style>
  <w:style w:type="character" w:customStyle="1" w:styleId="17">
    <w:name w:val="页眉 Char"/>
    <w:basedOn w:val="10"/>
    <w:link w:val="7"/>
    <w:uiPriority w:val="99"/>
    <w:rPr>
      <w:sz w:val="18"/>
      <w:szCs w:val="18"/>
    </w:rPr>
  </w:style>
  <w:style w:type="character" w:customStyle="1" w:styleId="18">
    <w:name w:val="页脚 Char"/>
    <w:basedOn w:val="10"/>
    <w:link w:val="6"/>
    <w:uiPriority w:val="99"/>
    <w:rPr>
      <w:sz w:val="18"/>
      <w:szCs w:val="18"/>
    </w:rPr>
  </w:style>
  <w:style w:type="paragraph" w:customStyle="1" w:styleId="1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20">
    <w:name w:val="List Paragraph"/>
    <w:basedOn w:val="1"/>
    <w:qFormat/>
    <w:uiPriority w:val="34"/>
    <w:pPr>
      <w:ind w:firstLine="420" w:firstLineChars="200"/>
    </w:pPr>
  </w:style>
  <w:style w:type="character" w:customStyle="1" w:styleId="21">
    <w:name w:val="批注框文本 Char"/>
    <w:basedOn w:val="10"/>
    <w:link w:val="5"/>
    <w:semiHidden/>
    <w:qFormat/>
    <w:uiPriority w:val="99"/>
    <w:rPr>
      <w:sz w:val="18"/>
      <w:szCs w:val="18"/>
    </w:rPr>
  </w:style>
  <w:style w:type="character" w:customStyle="1" w:styleId="22">
    <w:name w:val="font11"/>
    <w:basedOn w:val="10"/>
    <w:qFormat/>
    <w:uiPriority w:val="0"/>
    <w:rPr>
      <w:rFonts w:hint="default" w:ascii="Arial" w:hAnsi="Arial" w:cs="Arial"/>
      <w:color w:val="000000"/>
      <w:sz w:val="20"/>
      <w:szCs w:val="20"/>
      <w:u w:val="none"/>
    </w:rPr>
  </w:style>
  <w:style w:type="character" w:customStyle="1" w:styleId="23">
    <w:name w:val="font41"/>
    <w:basedOn w:val="10"/>
    <w:qFormat/>
    <w:uiPriority w:val="0"/>
    <w:rPr>
      <w:rFonts w:hint="eastAsia" w:ascii="宋体" w:hAnsi="宋体" w:eastAsia="宋体" w:cs="宋体"/>
      <w:color w:val="000000"/>
      <w:sz w:val="20"/>
      <w:szCs w:val="20"/>
      <w:u w:val="none"/>
    </w:rPr>
  </w:style>
  <w:style w:type="character" w:customStyle="1" w:styleId="24">
    <w:name w:val="font31"/>
    <w:basedOn w:val="10"/>
    <w:qFormat/>
    <w:uiPriority w:val="0"/>
    <w:rPr>
      <w:rFonts w:hint="default" w:ascii="Arial" w:hAnsi="Arial" w:cs="Arial"/>
      <w:color w:val="000000"/>
      <w:sz w:val="20"/>
      <w:szCs w:val="20"/>
      <w:u w:val="none"/>
    </w:rPr>
  </w:style>
  <w:style w:type="character" w:customStyle="1" w:styleId="25">
    <w:name w:val="font01"/>
    <w:basedOn w:val="10"/>
    <w:qFormat/>
    <w:uiPriority w:val="0"/>
    <w:rPr>
      <w:rFonts w:hint="eastAsia" w:ascii="宋体" w:hAnsi="宋体" w:eastAsia="宋体" w:cs="宋体"/>
      <w:color w:val="000000"/>
      <w:sz w:val="20"/>
      <w:szCs w:val="20"/>
      <w:u w:val="none"/>
    </w:rPr>
  </w:style>
  <w:style w:type="character" w:customStyle="1" w:styleId="26">
    <w:name w:val="hover"/>
    <w:basedOn w:val="10"/>
    <w:uiPriority w:val="0"/>
    <w:rPr>
      <w:color w:val="000000"/>
      <w:shd w:val="clear" w:fill="FFFFFF"/>
    </w:rPr>
  </w:style>
  <w:style w:type="character" w:customStyle="1" w:styleId="27">
    <w:name w:val="bsharetext"/>
    <w:basedOn w:val="10"/>
    <w:uiPriority w:val="0"/>
  </w:style>
  <w:style w:type="character" w:customStyle="1" w:styleId="28">
    <w:name w:val="wx-space"/>
    <w:basedOn w:val="10"/>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83442-B9FC-476F-83C9-27EA0B9F67C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27</Pages>
  <Words>10223</Words>
  <Characters>11040</Characters>
  <Lines>63</Lines>
  <Paragraphs>17</Paragraphs>
  <TotalTime>29</TotalTime>
  <ScaleCrop>false</ScaleCrop>
  <LinksUpToDate>false</LinksUpToDate>
  <CharactersWithSpaces>11473</CharactersWithSpaces>
  <Application>WPS Office_11.8.6.11021_F1E327BC-269C-435d-A152-05C5408002CA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2021-09-08T01:50:00Z</dcterms:created>
  <dc:creator>李航 null</dc:creator>
  <cp:lastModifiedBy>三叶草</cp:lastModifiedBy>
  <cp:lastPrinted>2021-09-15T07:49:00Z</cp:lastPrinted>
  <dcterms:modified xsi:type="dcterms:W3CDTF">2022-09-27T07:00:47Z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2052-11.8.6.11021</vt:lpwstr>
  </property>
  <property fmtid="{D5CDD505-2E9C-101B-9397-08002B2CF9AE}" pid="3" name="ICV">
    <vt:lpwstr>10F6DAD9328C4536932C5AB7D1D1DA39</vt:lpwstr>
  </property>
</Properties>
</file>