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tabs>
          <w:tab w:val="left" w:pos="13734"/>
        </w:tabs>
        <w:kinsoku/>
        <w:wordWrap/>
        <w:overflowPunct/>
        <w:topLinePunct w:val="0"/>
        <w:autoSpaceDE/>
        <w:autoSpaceDN/>
        <w:bidi w:val="0"/>
        <w:spacing w:before="0" w:after="60" w:line="240" w:lineRule="auto"/>
        <w:ind w:right="0"/>
        <w:jc w:val="left"/>
        <w:rPr>
          <w:rFonts w:hint="eastAsia" w:ascii="仿宋_GB2312" w:hAnsi="仿宋_GB2312" w:eastAsia="仿宋_GB2312" w:cs="仿宋_GB2312"/>
          <w:b/>
          <w:bCs/>
          <w:color w:val="000000"/>
          <w:spacing w:val="-6"/>
          <w:w w:val="100"/>
          <w:kern w:val="2"/>
          <w:position w:val="0"/>
          <w:sz w:val="32"/>
          <w:szCs w:val="32"/>
          <w:u w:val="none"/>
          <w:shd w:val="clear"/>
          <w:lang w:val="en-US" w:eastAsia="zh-CN" w:bidi="ar-SA"/>
        </w:rPr>
      </w:pPr>
      <w:r>
        <w:rPr>
          <w:rFonts w:hint="eastAsia" w:ascii="仿宋_GB2312" w:hAnsi="仿宋_GB2312" w:eastAsia="仿宋_GB2312" w:cs="仿宋_GB2312"/>
          <w:color w:val="000000"/>
          <w:spacing w:val="-6"/>
          <w:w w:val="100"/>
          <w:kern w:val="2"/>
          <w:position w:val="0"/>
          <w:sz w:val="32"/>
          <w:szCs w:val="32"/>
          <w:u w:val="none"/>
          <w:shd w:val="clear"/>
          <w:lang w:val="en-US" w:eastAsia="zh-CN" w:bidi="ar-SA"/>
        </w:rPr>
        <w:t>附件3</w:t>
      </w:r>
    </w:p>
    <w:p>
      <w:pPr>
        <w:keepNext w:val="0"/>
        <w:keepLines w:val="0"/>
        <w:pageBreakBefore w:val="0"/>
        <w:widowControl w:val="0"/>
        <w:kinsoku/>
        <w:wordWrap/>
        <w:overflowPunct/>
        <w:topLinePunct w:val="0"/>
        <w:autoSpaceDE/>
        <w:autoSpaceDN/>
        <w:bidi w:val="0"/>
        <w:spacing w:before="253" w:line="218" w:lineRule="auto"/>
        <w:ind w:left="108"/>
        <w:jc w:val="center"/>
        <w:outlineLvl w:val="6"/>
        <w:rPr>
          <w:rFonts w:hint="eastAsia" w:ascii="宋体" w:hAnsi="宋体" w:eastAsia="宋体" w:cs="宋体"/>
          <w:b/>
          <w:bCs/>
          <w:color w:val="000000"/>
          <w:spacing w:val="-6"/>
          <w:w w:val="100"/>
          <w:kern w:val="2"/>
          <w:position w:val="0"/>
          <w:sz w:val="44"/>
          <w:szCs w:val="44"/>
          <w:u w:val="none"/>
          <w:shd w:val="clear" w:color="auto" w:fill="auto"/>
          <w:lang w:val="en-US" w:eastAsia="zh-CN" w:bidi="ar-SA"/>
        </w:rPr>
      </w:pPr>
      <w:r>
        <w:rPr>
          <w:rFonts w:hint="eastAsia" w:ascii="宋体" w:hAnsi="宋体" w:eastAsia="宋体" w:cs="宋体"/>
          <w:b/>
          <w:bCs/>
          <w:color w:val="000000"/>
          <w:spacing w:val="-6"/>
          <w:w w:val="100"/>
          <w:kern w:val="2"/>
          <w:position w:val="0"/>
          <w:sz w:val="44"/>
          <w:szCs w:val="44"/>
          <w:u w:val="none"/>
          <w:shd w:val="clear" w:color="auto" w:fill="auto"/>
          <w:lang w:val="en-US" w:eastAsia="zh-CN" w:bidi="ar-SA"/>
        </w:rPr>
        <w:t>村卫生室实施基本药物制度绩效评价指标</w:t>
      </w:r>
    </w:p>
    <w:p>
      <w:pPr>
        <w:keepNext w:val="0"/>
        <w:keepLines w:val="0"/>
        <w:pageBreakBefore w:val="0"/>
        <w:widowControl w:val="0"/>
        <w:kinsoku/>
        <w:wordWrap/>
        <w:overflowPunct/>
        <w:topLinePunct w:val="0"/>
        <w:autoSpaceDE/>
        <w:autoSpaceDN/>
        <w:bidi w:val="0"/>
        <w:spacing w:before="253" w:line="218" w:lineRule="auto"/>
        <w:ind w:left="108"/>
        <w:jc w:val="center"/>
        <w:outlineLvl w:val="6"/>
        <w:rPr>
          <w:rFonts w:hint="eastAsia"/>
          <w:lang w:val="en-US" w:eastAsia="en-US"/>
        </w:rPr>
      </w:pPr>
      <w:r>
        <w:rPr>
          <w:rFonts w:hint="eastAsia"/>
          <w:b w:val="0"/>
          <w:bCs w:val="0"/>
          <w:color w:val="000000"/>
          <w:spacing w:val="0"/>
          <w:w w:val="100"/>
          <w:position w:val="0"/>
          <w:sz w:val="28"/>
          <w:szCs w:val="28"/>
          <w:lang w:val="en-US" w:eastAsia="zh-CN"/>
        </w:rPr>
        <w:t xml:space="preserve">                                </w:t>
      </w:r>
      <w:r>
        <w:rPr>
          <w:rFonts w:hint="eastAsia" w:ascii="仿宋_GB2312" w:hAnsi="仿宋_GB2312" w:eastAsia="仿宋_GB2312" w:cs="仿宋_GB2312"/>
          <w:color w:val="000000"/>
          <w:spacing w:val="-6"/>
          <w:w w:val="100"/>
          <w:kern w:val="2"/>
          <w:position w:val="0"/>
          <w:sz w:val="32"/>
          <w:szCs w:val="32"/>
          <w:u w:val="none"/>
          <w:shd w:val="clear" w:color="auto" w:fill="auto"/>
          <w:lang w:val="en-US" w:eastAsia="zh-CN" w:bidi="ar-SA"/>
        </w:rPr>
        <w:t>单位：</w:t>
      </w:r>
    </w:p>
    <w:tbl>
      <w:tblPr>
        <w:tblStyle w:val="15"/>
        <w:tblpPr w:leftFromText="180" w:rightFromText="180" w:vertAnchor="text" w:horzAnchor="page" w:tblpX="1049" w:tblpY="54"/>
        <w:tblOverlap w:val="never"/>
        <w:tblW w:w="146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6765"/>
        <w:gridCol w:w="4875"/>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20" w:type="dxa"/>
            <w:vAlign w:val="center"/>
          </w:tcPr>
          <w:p>
            <w:pPr>
              <w:pStyle w:val="14"/>
              <w:keepNext w:val="0"/>
              <w:keepLines w:val="0"/>
              <w:pageBreakBefore w:val="0"/>
              <w:widowControl w:val="0"/>
              <w:shd w:val="clear" w:color="auto" w:fill="auto"/>
              <w:kinsoku/>
              <w:wordWrap/>
              <w:overflowPunct/>
              <w:topLinePunct w:val="0"/>
              <w:autoSpaceDE/>
              <w:autoSpaceDN/>
              <w:bidi w:val="0"/>
              <w:spacing w:before="29" w:line="204" w:lineRule="auto"/>
              <w:ind w:left="68"/>
              <w:jc w:val="center"/>
              <w:rPr>
                <w:rFonts w:hint="eastAsia" w:ascii="仿宋_GB2312" w:hAnsi="仿宋_GB2312" w:eastAsia="仿宋_GB2312" w:cs="仿宋_GB2312"/>
                <w:b/>
                <w:bCs/>
                <w:spacing w:val="7"/>
                <w:sz w:val="30"/>
                <w:szCs w:val="30"/>
                <w:lang w:val="en-US" w:eastAsia="en-US"/>
              </w:rPr>
            </w:pPr>
            <w:r>
              <w:rPr>
                <w:rFonts w:hint="eastAsia" w:ascii="仿宋_GB2312" w:hAnsi="仿宋_GB2312" w:eastAsia="仿宋_GB2312" w:cs="仿宋_GB2312"/>
                <w:b/>
                <w:bCs/>
                <w:spacing w:val="7"/>
                <w:sz w:val="30"/>
                <w:szCs w:val="30"/>
                <w:lang w:val="en-US" w:eastAsia="en-US"/>
              </w:rPr>
              <w:t>评价项目</w:t>
            </w:r>
          </w:p>
        </w:tc>
        <w:tc>
          <w:tcPr>
            <w:tcW w:w="6765" w:type="dxa"/>
            <w:vAlign w:val="center"/>
          </w:tcPr>
          <w:p>
            <w:pPr>
              <w:pStyle w:val="14"/>
              <w:keepNext w:val="0"/>
              <w:keepLines w:val="0"/>
              <w:pageBreakBefore w:val="0"/>
              <w:widowControl w:val="0"/>
              <w:shd w:val="clear" w:color="auto" w:fill="auto"/>
              <w:kinsoku/>
              <w:wordWrap/>
              <w:overflowPunct/>
              <w:topLinePunct w:val="0"/>
              <w:autoSpaceDE/>
              <w:autoSpaceDN/>
              <w:bidi w:val="0"/>
              <w:spacing w:before="29" w:line="204" w:lineRule="auto"/>
              <w:ind w:left="68"/>
              <w:jc w:val="center"/>
              <w:rPr>
                <w:rFonts w:hint="eastAsia" w:ascii="仿宋_GB2312" w:hAnsi="仿宋_GB2312" w:eastAsia="仿宋_GB2312" w:cs="仿宋_GB2312"/>
                <w:b/>
                <w:bCs/>
                <w:spacing w:val="7"/>
                <w:sz w:val="30"/>
                <w:szCs w:val="30"/>
                <w:lang w:val="en-US" w:eastAsia="en-US"/>
              </w:rPr>
            </w:pPr>
            <w:r>
              <w:rPr>
                <w:rFonts w:hint="eastAsia" w:ascii="仿宋_GB2312" w:hAnsi="仿宋_GB2312" w:eastAsia="仿宋_GB2312" w:cs="仿宋_GB2312"/>
                <w:b/>
                <w:bCs/>
                <w:spacing w:val="7"/>
                <w:sz w:val="30"/>
                <w:szCs w:val="30"/>
                <w:lang w:val="en-US" w:eastAsia="en-US"/>
              </w:rPr>
              <w:t>评价方法</w:t>
            </w:r>
          </w:p>
        </w:tc>
        <w:tc>
          <w:tcPr>
            <w:tcW w:w="4875" w:type="dxa"/>
            <w:vAlign w:val="center"/>
          </w:tcPr>
          <w:p>
            <w:pPr>
              <w:pStyle w:val="14"/>
              <w:keepNext w:val="0"/>
              <w:keepLines w:val="0"/>
              <w:pageBreakBefore w:val="0"/>
              <w:widowControl w:val="0"/>
              <w:shd w:val="clear" w:color="auto" w:fill="auto"/>
              <w:kinsoku/>
              <w:wordWrap/>
              <w:overflowPunct/>
              <w:topLinePunct w:val="0"/>
              <w:autoSpaceDE/>
              <w:autoSpaceDN/>
              <w:bidi w:val="0"/>
              <w:spacing w:before="29" w:line="204" w:lineRule="auto"/>
              <w:ind w:left="68"/>
              <w:jc w:val="center"/>
              <w:rPr>
                <w:rFonts w:hint="eastAsia" w:ascii="仿宋_GB2312" w:hAnsi="仿宋_GB2312" w:eastAsia="仿宋_GB2312" w:cs="仿宋_GB2312"/>
                <w:b/>
                <w:bCs/>
                <w:spacing w:val="7"/>
                <w:sz w:val="30"/>
                <w:szCs w:val="30"/>
                <w:lang w:val="en-US" w:eastAsia="en-US"/>
              </w:rPr>
            </w:pPr>
            <w:r>
              <w:rPr>
                <w:rFonts w:hint="eastAsia" w:ascii="仿宋_GB2312" w:hAnsi="仿宋_GB2312" w:eastAsia="仿宋_GB2312" w:cs="仿宋_GB2312"/>
                <w:b/>
                <w:bCs/>
                <w:spacing w:val="7"/>
                <w:sz w:val="30"/>
                <w:szCs w:val="30"/>
                <w:lang w:val="en-US" w:eastAsia="en-US"/>
              </w:rPr>
              <w:t>评价指标</w:t>
            </w:r>
          </w:p>
        </w:tc>
        <w:tc>
          <w:tcPr>
            <w:tcW w:w="1417" w:type="dxa"/>
            <w:vAlign w:val="center"/>
          </w:tcPr>
          <w:p>
            <w:pPr>
              <w:pStyle w:val="14"/>
              <w:keepNext w:val="0"/>
              <w:keepLines w:val="0"/>
              <w:pageBreakBefore w:val="0"/>
              <w:widowControl w:val="0"/>
              <w:shd w:val="clear" w:color="auto" w:fill="auto"/>
              <w:kinsoku/>
              <w:wordWrap/>
              <w:overflowPunct/>
              <w:topLinePunct w:val="0"/>
              <w:autoSpaceDE/>
              <w:autoSpaceDN/>
              <w:bidi w:val="0"/>
              <w:spacing w:before="29" w:line="204" w:lineRule="auto"/>
              <w:ind w:left="68"/>
              <w:jc w:val="center"/>
              <w:rPr>
                <w:rFonts w:hint="eastAsia" w:ascii="仿宋_GB2312" w:hAnsi="仿宋_GB2312" w:eastAsia="仿宋_GB2312" w:cs="仿宋_GB2312"/>
                <w:b/>
                <w:bCs/>
                <w:spacing w:val="7"/>
                <w:sz w:val="30"/>
                <w:szCs w:val="30"/>
                <w:lang w:val="en-US"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基本药物由基层医疗卫生机构代购及零差率销售管理</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30分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从村卫生室的基本药物中随机抽取10种药品</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医师处方和药库货架各5种</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发现非基层医疗卫生机构代购或加价销售每个品种扣3分。</w:t>
            </w: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抽查药品数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非基层医疗卫生机构代购药品数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加价销售药品数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restart"/>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药品采购台账</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20分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未建立村卫生室基药代购制度扣20分，未建立符合要求的村卫生室药品采购台账</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台账应有药品的各项基本信息、采购时间等并附发票或随货同行联</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扣15分。建立台账但发现货架或处方中抽取的基本药物有不在台帐中或价格不符的每处扣3分，最多扣12分。村卫生室采购使用全</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区</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确定的增补议价药品</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未实行单独登记的扣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1</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分，采购使用增补议价药品超过本村卫生室年度网上采购药品总金额8%的扣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2</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w:t>
            </w: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是否建立村卫生室基药代购制度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是否建立符合要求的村卫生室药品采购台账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是否发现货架或处方中抽取的基本药物有不在台帐中或价格不符</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default" w:ascii="仿宋_GB2312" w:hAnsi="仿宋_GB2312" w:eastAsia="仿宋_GB2312" w:cs="仿宋_GB2312"/>
                <w:color w:val="000000"/>
                <w:spacing w:val="-1"/>
                <w:w w:val="100"/>
                <w:position w:val="0"/>
                <w:sz w:val="21"/>
                <w:szCs w:val="21"/>
                <w:shd w:val="clear" w:color="auto" w:fill="auto"/>
                <w:lang w:val="en-US" w:eastAsia="zh-CN"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增补议价药品未按议定价格采购使用</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、采购金额占比</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药品合理使用</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3</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0</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抽查村卫生室20张</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2024</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年处方，进行处方点评，如存在不合理处方，不规范处方每张扣1分，用药不适宜处方每张扣2分，超常处方每张扣3分，最多扣3</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0</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w:t>
            </w: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点评处方数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不规范处方数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用药不适宜处方数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nil"/>
              <w:bottom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nil"/>
              <w:bottom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超常处方数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restart"/>
            <w:tcBorders>
              <w:top w:val="nil"/>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zh-CN"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明码标价与门诊登记规范</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default" w:ascii="仿宋_GB2312" w:hAnsi="仿宋_GB2312" w:eastAsia="仿宋_GB2312" w:cs="仿宋_GB2312"/>
                <w:color w:val="000000"/>
                <w:spacing w:val="0"/>
                <w:w w:val="100"/>
                <w:position w:val="0"/>
                <w:sz w:val="21"/>
                <w:szCs w:val="21"/>
                <w:shd w:val="clear" w:color="auto" w:fill="auto"/>
                <w:lang w:val="en-US" w:eastAsia="zh-CN"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（10分）</w:t>
            </w:r>
          </w:p>
        </w:tc>
        <w:tc>
          <w:tcPr>
            <w:tcW w:w="6765" w:type="dxa"/>
            <w:vMerge w:val="restart"/>
            <w:tcBorders>
              <w:top w:val="nil"/>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zh-CN"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基本药物</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目录</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未公示</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、未明码标价</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扣</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3</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分，公示不全或价格不准确的扣2分</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。无门诊处方扣5分；未建立门诊病人登记扣5分；门诊处方上无药品收费明细扣2分，门诊处方与门诊病人登记相关信息不相符扣3分。门诊处方不规范或门诊病人登记不全扣2分，扣完为止。</w:t>
            </w: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default" w:ascii="仿宋_GB2312" w:hAnsi="仿宋_GB2312" w:eastAsia="仿宋_GB2312" w:cs="仿宋_GB2312"/>
                <w:color w:val="000000"/>
                <w:spacing w:val="-1"/>
                <w:w w:val="100"/>
                <w:position w:val="0"/>
                <w:sz w:val="21"/>
                <w:szCs w:val="21"/>
                <w:shd w:val="clear" w:color="auto" w:fill="auto"/>
                <w:lang w:val="en-US" w:eastAsia="zh-CN" w:bidi="ar-SA"/>
              </w:rPr>
            </w:pPr>
            <w:r>
              <w:rPr>
                <w:rFonts w:hint="eastAsia" w:ascii="仿宋_GB2312" w:hAnsi="仿宋_GB2312" w:eastAsia="仿宋_GB2312" w:cs="仿宋_GB2312"/>
                <w:color w:val="000000"/>
                <w:spacing w:val="-1"/>
                <w:w w:val="100"/>
                <w:position w:val="0"/>
                <w:sz w:val="21"/>
                <w:szCs w:val="21"/>
                <w:shd w:val="clear" w:color="auto" w:fill="auto"/>
                <w:lang w:val="en-US" w:eastAsia="zh-CN" w:bidi="ar-SA"/>
              </w:rPr>
              <w:t>药品未公示、未明码标价数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门诊处方</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、门诊日志登记不规范数</w:t>
            </w:r>
          </w:p>
        </w:tc>
        <w:tc>
          <w:tcPr>
            <w:tcW w:w="1417" w:type="dxa"/>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zh-CN"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药品配备储存管理</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1</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0</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分</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村卫生室基本药物配备不少于40种。发现村卫生室基本药物不足40种的，每少一种扣2分；陈列药品中存在药品过期或从药品外观就可看出明显质量问题的，每发现一种扣5分，扣完为止。</w:t>
            </w:r>
          </w:p>
        </w:tc>
        <w:tc>
          <w:tcPr>
            <w:tcW w:w="4875"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村卫生室基本药物数量</w:t>
            </w:r>
          </w:p>
        </w:tc>
        <w:tc>
          <w:tcPr>
            <w:tcW w:w="1417"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p>
        </w:tc>
        <w:tc>
          <w:tcPr>
            <w:tcW w:w="676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4875"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陈列药品中发现存在药品过期或从药品外观就可看出明显质量问题的品种数</w:t>
            </w:r>
          </w:p>
        </w:tc>
        <w:tc>
          <w:tcPr>
            <w:tcW w:w="1417"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6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相关工作落实</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en-US" w:bidi="ar-SA"/>
              </w:rPr>
              <w:t>情况</w:t>
            </w:r>
          </w:p>
          <w:p>
            <w:pPr>
              <w:keepNext w:val="0"/>
              <w:keepLines w:val="0"/>
              <w:pageBreakBefore w:val="0"/>
              <w:widowControl w:val="0"/>
              <w:shd w:val="clear" w:color="auto" w:fill="auto"/>
              <w:kinsoku/>
              <w:wordWrap/>
              <w:overflowPunct/>
              <w:topLinePunct w:val="0"/>
              <w:autoSpaceDE/>
              <w:autoSpaceDN/>
              <w:bidi w:val="0"/>
              <w:spacing w:before="0"/>
              <w:ind w:right="0"/>
              <w:jc w:val="center"/>
              <w:rPr>
                <w:rFonts w:hint="eastAsia" w:ascii="仿宋_GB2312" w:hAnsi="仿宋_GB2312" w:eastAsia="仿宋_GB2312" w:cs="仿宋_GB2312"/>
                <w:color w:val="000000"/>
                <w:spacing w:val="0"/>
                <w:w w:val="100"/>
                <w:position w:val="0"/>
                <w:sz w:val="21"/>
                <w:szCs w:val="21"/>
                <w:shd w:val="clear" w:color="auto" w:fill="auto"/>
                <w:lang w:val="en-US" w:eastAsia="en-US" w:bidi="ar-SA"/>
              </w:rPr>
            </w:pP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r>
              <w:rPr>
                <w:rFonts w:hint="eastAsia" w:ascii="仿宋_GB2312" w:hAnsi="仿宋_GB2312" w:eastAsia="仿宋_GB2312" w:cs="仿宋_GB2312"/>
                <w:color w:val="000000"/>
                <w:spacing w:val="0"/>
                <w:w w:val="100"/>
                <w:position w:val="0"/>
                <w:sz w:val="21"/>
                <w:szCs w:val="21"/>
                <w:shd w:val="clear" w:color="auto" w:fill="auto"/>
                <w:lang w:val="en-US" w:eastAsia="en-US" w:bidi="ar-SA"/>
              </w:rPr>
              <w:t>扣分项</w:t>
            </w:r>
            <w:r>
              <w:rPr>
                <w:rFonts w:hint="eastAsia" w:ascii="仿宋_GB2312" w:hAnsi="仿宋_GB2312" w:eastAsia="仿宋_GB2312" w:cs="仿宋_GB2312"/>
                <w:color w:val="000000"/>
                <w:spacing w:val="0"/>
                <w:w w:val="100"/>
                <w:position w:val="0"/>
                <w:sz w:val="21"/>
                <w:szCs w:val="21"/>
                <w:shd w:val="clear" w:color="auto" w:fill="auto"/>
                <w:lang w:val="en-US" w:eastAsia="zh-CN" w:bidi="ar-SA"/>
              </w:rPr>
              <w:t>）</w:t>
            </w:r>
          </w:p>
        </w:tc>
        <w:tc>
          <w:tcPr>
            <w:tcW w:w="67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both"/>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r>
              <w:rPr>
                <w:rFonts w:hint="eastAsia" w:ascii="仿宋_GB2312" w:hAnsi="仿宋_GB2312" w:eastAsia="仿宋_GB2312" w:cs="仿宋_GB2312"/>
                <w:color w:val="000000"/>
                <w:spacing w:val="-1"/>
                <w:w w:val="100"/>
                <w:position w:val="0"/>
                <w:sz w:val="21"/>
                <w:szCs w:val="21"/>
                <w:shd w:val="clear" w:color="auto" w:fill="auto"/>
                <w:lang w:val="en-US" w:eastAsia="en-US" w:bidi="ar-SA"/>
              </w:rPr>
              <w:t>对</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区、基层医疗卫生机构</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安排工作落实不力，问题整改不到位，</w:t>
            </w:r>
            <w:r>
              <w:rPr>
                <w:rFonts w:hint="eastAsia" w:ascii="仿宋_GB2312" w:hAnsi="仿宋_GB2312" w:eastAsia="仿宋_GB2312" w:cs="仿宋_GB2312"/>
                <w:color w:val="000000"/>
                <w:spacing w:val="-1"/>
                <w:w w:val="100"/>
                <w:position w:val="0"/>
                <w:sz w:val="21"/>
                <w:szCs w:val="21"/>
                <w:shd w:val="clear" w:color="auto" w:fill="auto"/>
                <w:lang w:val="en-US" w:eastAsia="zh-CN" w:bidi="ar-SA"/>
              </w:rPr>
              <w:t>不配合基层医疗卫生机构工作的，</w:t>
            </w:r>
            <w:r>
              <w:rPr>
                <w:rFonts w:hint="eastAsia" w:ascii="仿宋_GB2312" w:hAnsi="仿宋_GB2312" w:eastAsia="仿宋_GB2312" w:cs="仿宋_GB2312"/>
                <w:color w:val="000000"/>
                <w:spacing w:val="-1"/>
                <w:w w:val="100"/>
                <w:position w:val="0"/>
                <w:sz w:val="21"/>
                <w:szCs w:val="21"/>
                <w:shd w:val="clear" w:color="auto" w:fill="auto"/>
                <w:lang w:val="en-US" w:eastAsia="en-US" w:bidi="ar-SA"/>
              </w:rPr>
              <w:t>上报情况或数据存在明显错误的，可根据情况扣1至10分。</w:t>
            </w:r>
          </w:p>
        </w:tc>
        <w:tc>
          <w:tcPr>
            <w:tcW w:w="4875"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c>
          <w:tcPr>
            <w:tcW w:w="1417" w:type="dxa"/>
            <w:tcBorders>
              <w:lef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val="0"/>
              <w:snapToGrid w:val="0"/>
              <w:spacing w:before="0" w:line="240" w:lineRule="exact"/>
              <w:ind w:left="0" w:right="0"/>
              <w:jc w:val="center"/>
              <w:textAlignment w:val="baseline"/>
              <w:rPr>
                <w:rFonts w:hint="eastAsia" w:ascii="仿宋_GB2312" w:hAnsi="仿宋_GB2312" w:eastAsia="仿宋_GB2312" w:cs="仿宋_GB2312"/>
                <w:color w:val="000000"/>
                <w:spacing w:val="-1"/>
                <w:w w:val="100"/>
                <w:position w:val="0"/>
                <w:sz w:val="21"/>
                <w:szCs w:val="21"/>
                <w:shd w:val="clear" w:color="auto" w:fill="auto"/>
                <w:lang w:val="en-US" w:eastAsia="en-US" w:bidi="ar-SA"/>
              </w:rPr>
            </w:pPr>
          </w:p>
        </w:tc>
      </w:tr>
    </w:tbl>
    <w:p>
      <w:pPr>
        <w:keepNext w:val="0"/>
        <w:keepLines w:val="0"/>
        <w:pageBreakBefore w:val="0"/>
        <w:widowControl w:val="0"/>
        <w:kinsoku/>
        <w:wordWrap/>
        <w:overflowPunct/>
        <w:topLinePunct w:val="0"/>
        <w:autoSpaceDE/>
        <w:autoSpaceDN/>
        <w:bidi w:val="0"/>
        <w:rPr>
          <w:rFonts w:hint="eastAsia" w:ascii="仿宋" w:hAnsi="仿宋" w:eastAsia="仿宋" w:cs="仿宋"/>
          <w:color w:val="000000"/>
          <w:spacing w:val="0"/>
          <w:w w:val="100"/>
          <w:position w:val="0"/>
          <w:sz w:val="22"/>
          <w:szCs w:val="22"/>
          <w:shd w:val="clear" w:color="auto" w:fill="auto"/>
          <w:lang w:val="en-US" w:eastAsia="en-US" w:bidi="ar-SA"/>
        </w:rPr>
      </w:pPr>
      <w:bookmarkStart w:id="0" w:name="_GoBack"/>
      <w:bookmarkEnd w:id="0"/>
    </w:p>
    <w:sectPr>
      <w:headerReference r:id="rId5" w:type="default"/>
      <w:footerReference r:id="rId6" w:type="default"/>
      <w:footnotePr>
        <w:numFmt w:val="decimal"/>
      </w:footnotePr>
      <w:pgSz w:w="16840" w:h="11900" w:orient="landscape"/>
      <w:pgMar w:top="1191" w:right="1519" w:bottom="1020" w:left="1519" w:header="726" w:footer="907" w:gutter="0"/>
      <w:pgNumType w:fmt="numberInDash"/>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10EE469C"/>
    <w:rsid w:val="0644162B"/>
    <w:rsid w:val="078863B7"/>
    <w:rsid w:val="08F97D45"/>
    <w:rsid w:val="10EE469C"/>
    <w:rsid w:val="4B4734B2"/>
    <w:rsid w:val="4BAB3DCF"/>
    <w:rsid w:val="5E3E26AF"/>
    <w:rsid w:val="61795344"/>
    <w:rsid w:val="75740A4D"/>
    <w:rsid w:val="7B294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2"/>
    <w:basedOn w:val="1"/>
    <w:next w:val="1"/>
    <w:unhideWhenUsed/>
    <w:qFormat/>
    <w:uiPriority w:val="0"/>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spacing w:line="300" w:lineRule="auto"/>
      <w:ind w:firstLine="482" w:firstLineChars="200"/>
    </w:pPr>
    <w:rPr>
      <w:rFonts w:ascii="宋体" w:cs="宋体"/>
      <w:kern w:val="0"/>
      <w:sz w:val="24"/>
      <w:szCs w:val="24"/>
      <w:lang w:val="zh-CN"/>
    </w:rPr>
  </w:style>
  <w:style w:type="paragraph" w:styleId="4">
    <w:name w:val="Body Text Indent"/>
    <w:basedOn w:val="1"/>
    <w:next w:val="3"/>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next w:val="1"/>
    <w:qFormat/>
    <w:uiPriority w:val="0"/>
    <w:pPr>
      <w:widowControl w:val="0"/>
      <w:spacing w:before="100" w:beforeAutospacing="1"/>
      <w:ind w:leftChars="200" w:firstLine="420" w:firstLineChars="200"/>
      <w:jc w:val="both"/>
    </w:pPr>
    <w:rPr>
      <w:kern w:val="2"/>
      <w:sz w:val="21"/>
      <w:szCs w:val="21"/>
      <w:lang w:val="en-US" w:eastAsia="zh-CN" w:bidi="ar-SA"/>
    </w:rPr>
  </w:style>
  <w:style w:type="paragraph" w:customStyle="1" w:styleId="10">
    <w:name w:val="Heading #1|1"/>
    <w:basedOn w:val="1"/>
    <w:qFormat/>
    <w:uiPriority w:val="0"/>
    <w:pPr>
      <w:widowControl w:val="0"/>
      <w:shd w:val="clear" w:color="auto" w:fill="auto"/>
      <w:spacing w:before="100" w:after="460" w:line="598" w:lineRule="exact"/>
      <w:jc w:val="center"/>
      <w:outlineLvl w:val="0"/>
    </w:pPr>
    <w:rPr>
      <w:rFonts w:ascii="宋体" w:hAnsi="宋体" w:eastAsia="宋体" w:cs="宋体"/>
      <w:sz w:val="44"/>
      <w:szCs w:val="44"/>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2">
    <w:name w:val="Other|1"/>
    <w:basedOn w:val="1"/>
    <w:qFormat/>
    <w:uiPriority w:val="0"/>
    <w:pPr>
      <w:widowControl w:val="0"/>
      <w:shd w:val="clear" w:color="auto" w:fill="auto"/>
      <w:spacing w:line="470" w:lineRule="auto"/>
      <w:ind w:firstLine="400"/>
    </w:pPr>
    <w:rPr>
      <w:rFonts w:ascii="宋体" w:hAnsi="宋体" w:eastAsia="宋体" w:cs="宋体"/>
      <w:sz w:val="28"/>
      <w:szCs w:val="28"/>
      <w:u w:val="none"/>
      <w:shd w:val="clear" w:color="auto" w:fill="auto"/>
      <w:lang w:val="zh-TW" w:eastAsia="zh-TW" w:bidi="zh-TW"/>
    </w:rPr>
  </w:style>
  <w:style w:type="paragraph" w:customStyle="1" w:styleId="13">
    <w:name w:val="Table caption|1"/>
    <w:basedOn w:val="1"/>
    <w:qFormat/>
    <w:uiPriority w:val="0"/>
    <w:pPr>
      <w:widowControl w:val="0"/>
      <w:shd w:val="clear" w:color="auto" w:fill="auto"/>
    </w:pPr>
    <w:rPr>
      <w:sz w:val="26"/>
      <w:szCs w:val="26"/>
      <w:u w:val="none"/>
      <w:shd w:val="clear" w:color="auto" w:fill="auto"/>
    </w:rPr>
  </w:style>
  <w:style w:type="paragraph" w:customStyle="1" w:styleId="14">
    <w:name w:val="Table Text"/>
    <w:basedOn w:val="1"/>
    <w:semiHidden/>
    <w:qFormat/>
    <w:uiPriority w:val="0"/>
    <w:rPr>
      <w:rFonts w:ascii="宋体" w:hAnsi="宋体" w:eastAsia="宋体" w:cs="宋体"/>
      <w:sz w:val="25"/>
      <w:szCs w:val="25"/>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6338</Words>
  <Characters>6495</Characters>
  <Lines>0</Lines>
  <Paragraphs>0</Paragraphs>
  <TotalTime>32</TotalTime>
  <ScaleCrop>false</ScaleCrop>
  <LinksUpToDate>false</LinksUpToDate>
  <CharactersWithSpaces>6754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2023-07-12T08:30:00Z</dcterms:created>
  <dc:creator>曦曦</dc:creator>
  <cp:lastModifiedBy>张志超</cp:lastModifiedBy>
  <cp:lastPrinted>2024-07-02T02:44:00Z</cp:lastPrinted>
  <dcterms:modified xsi:type="dcterms:W3CDTF">2024-09-24T07:35:55Z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5AB44E48D6314E099BFD4BAE8A7B8378_13</vt:lpwstr>
  </property>
</Properties>
</file>