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topLinePunct w:val="0"/>
        <w:bidi w:val="0"/>
        <w:spacing w:line="560" w:lineRule="exact"/>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附件1</w:t>
      </w:r>
    </w:p>
    <w:p>
      <w:pPr>
        <w:keepNext w:val="0"/>
        <w:keepLines w:val="0"/>
        <w:pageBreakBefore w:val="0"/>
        <w:kinsoku/>
        <w:wordWrap/>
        <w:topLinePunct w:val="0"/>
        <w:bidi w:val="0"/>
        <w:spacing w:line="240" w:lineRule="auto"/>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燃气器具及其配件产品质量安全检查要点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color w:val="000000"/>
          <w:sz w:val="32"/>
          <w:szCs w:val="32"/>
        </w:rPr>
        <w:t>一、产品监管政策和执行标准</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2019年10月1日起，家用燃气器具（家用燃气灶、家用燃气快速热水器、燃气采暖热水炉）纳入CCC认证管理范围；2020年10月1日起，未获得强制性产品认证证书和未标注强制性认证标志的家用燃气器具不得出厂、销售、进口或在其他经营活动中使用。</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执行标准有GB 16410-2020《家用燃气灶具》（2022年1月1日开始实施）、GB 16410-2007《家用燃气灶具》、GB 6932-2015《家用燃气快速热水器》、GB 25034-2020《燃气采暖热水炉》、GB</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35848-2018《商用燃气燃烧器具》、GB 35844-2018 《瓶装液化石油气调压器》、GB 29993-2013《家用燃气用橡胶和塑料软管及软管组合件技术条件和评价方法》。金属软管无强制性标准。</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color w:val="000000"/>
          <w:sz w:val="32"/>
          <w:szCs w:val="32"/>
        </w:rPr>
        <w:t>二、重点产品检查要点</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3" w:firstLineChars="200"/>
        <w:jc w:val="both"/>
        <w:textAlignment w:val="auto"/>
        <w:outlineLvl w:val="9"/>
        <w:rPr>
          <w:rFonts w:hint="eastAsia" w:ascii="仿宋_GB2312" w:hAnsi="仿宋_GB2312" w:eastAsia="仿宋_GB2312" w:cs="仿宋_GB2312"/>
          <w:b/>
          <w:bCs/>
          <w:color w:val="000000"/>
          <w:sz w:val="32"/>
          <w:szCs w:val="32"/>
        </w:rPr>
      </w:pPr>
      <w:r>
        <w:rPr>
          <w:rFonts w:hint="eastAsia" w:ascii="楷体_GB2312" w:hAnsi="楷体_GB2312" w:eastAsia="楷体_GB2312" w:cs="楷体_GB2312"/>
          <w:b/>
          <w:bCs/>
          <w:color w:val="000000"/>
          <w:sz w:val="32"/>
          <w:szCs w:val="32"/>
        </w:rPr>
        <w:t>（一）家用燃气灶具</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3" w:firstLineChars="200"/>
        <w:jc w:val="both"/>
        <w:textAlignment w:val="auto"/>
        <w:outlineLvl w:val="9"/>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1</w:t>
      </w:r>
      <w:r>
        <w:rPr>
          <w:rFonts w:hint="eastAsia" w:ascii="仿宋_GB2312" w:hAnsi="仿宋_GB2312" w:eastAsia="仿宋_GB2312" w:cs="仿宋_GB2312"/>
          <w:b/>
          <w:bCs/>
          <w:color w:val="000000"/>
          <w:sz w:val="32"/>
          <w:szCs w:val="32"/>
          <w:lang w:val="en-US" w:eastAsia="zh-CN"/>
        </w:rPr>
        <w:t>.</w:t>
      </w:r>
      <w:r>
        <w:rPr>
          <w:rFonts w:hint="eastAsia" w:ascii="仿宋_GB2312" w:hAnsi="仿宋_GB2312" w:eastAsia="仿宋_GB2312" w:cs="仿宋_GB2312"/>
          <w:b/>
          <w:bCs/>
          <w:color w:val="000000"/>
          <w:sz w:val="32"/>
          <w:szCs w:val="32"/>
        </w:rPr>
        <w:t>熄火保护装置</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查看灶具是否有熄火保护装置，（直径大约2－4毫米），其一般安装在靠近火盖侧。（见图1）</w:t>
      </w:r>
    </w:p>
    <w:tbl>
      <w:tblPr>
        <w:tblStyle w:val="10"/>
        <w:tblW w:w="0" w:type="auto"/>
        <w:jc w:val="center"/>
        <w:tblCellSpacing w:w="0" w:type="dxa"/>
        <w:tblLayout w:type="fixed"/>
        <w:tblCellMar>
          <w:top w:w="0" w:type="dxa"/>
          <w:left w:w="0" w:type="dxa"/>
          <w:bottom w:w="0" w:type="dxa"/>
          <w:right w:w="0" w:type="dxa"/>
        </w:tblCellMar>
      </w:tblPr>
      <w:tblGrid>
        <w:gridCol w:w="750"/>
        <w:gridCol w:w="7515"/>
      </w:tblGrid>
      <w:tr>
        <w:tblPrEx>
          <w:tblCellMar>
            <w:top w:w="0" w:type="dxa"/>
            <w:left w:w="0" w:type="dxa"/>
            <w:bottom w:w="0" w:type="dxa"/>
            <w:right w:w="0" w:type="dxa"/>
          </w:tblCellMar>
        </w:tblPrEx>
        <w:trPr>
          <w:wBefore w:w="0" w:type="auto"/>
          <w:wAfter w:w="0" w:type="auto"/>
          <w:tblCellSpacing w:w="0" w:type="dxa"/>
          <w:jc w:val="center"/>
        </w:trPr>
        <w:tc>
          <w:tcPr>
            <w:tcW w:w="750" w:type="dxa"/>
            <w:noWrap w:val="0"/>
            <w:vAlign w:val="center"/>
          </w:tcPr>
          <w:p>
            <w:pPr>
              <w:keepNext w:val="0"/>
              <w:keepLines w:val="0"/>
              <w:pageBreakBefore w:val="0"/>
              <w:widowControl/>
              <w:kinsoku/>
              <w:wordWrap/>
              <w:topLinePunct w:val="0"/>
              <w:bidi w:val="0"/>
              <w:spacing w:line="560" w:lineRule="exact"/>
              <w:ind w:firstLine="480" w:firstLineChars="200"/>
              <w:jc w:val="left"/>
              <w:textAlignment w:val="auto"/>
              <w:rPr>
                <w:rFonts w:hint="eastAsia" w:ascii="仿宋_GB2312" w:hAnsi="仿宋_GB2312" w:eastAsia="仿宋_GB2312" w:cs="仿宋_GB2312"/>
                <w:kern w:val="0"/>
                <w:sz w:val="24"/>
                <w:szCs w:val="24"/>
              </w:rPr>
            </w:pPr>
          </w:p>
        </w:tc>
        <w:tc>
          <w:tcPr>
            <w:tcW w:w="7515" w:type="dxa"/>
            <w:noWrap w:val="0"/>
            <w:vAlign w:val="center"/>
          </w:tcPr>
          <w:p>
            <w:pPr>
              <w:bidi w:val="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drawing>
                <wp:inline distT="0" distB="0" distL="114300" distR="114300">
                  <wp:extent cx="4772025" cy="2371725"/>
                  <wp:effectExtent l="0" t="0" r="9525" b="9525"/>
                  <wp:docPr id="1" name="图片 15"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descr="wps1"/>
                          <pic:cNvPicPr>
                            <a:picLocks noChangeAspect="1"/>
                          </pic:cNvPicPr>
                        </pic:nvPicPr>
                        <pic:blipFill>
                          <a:blip r:embed="rId5"/>
                          <a:stretch>
                            <a:fillRect/>
                          </a:stretch>
                        </pic:blipFill>
                        <pic:spPr>
                          <a:xfrm>
                            <a:off x="0" y="0"/>
                            <a:ext cx="4772025" cy="2371725"/>
                          </a:xfrm>
                          <a:prstGeom prst="rect">
                            <a:avLst/>
                          </a:prstGeom>
                          <a:noFill/>
                          <a:ln>
                            <a:noFill/>
                          </a:ln>
                        </pic:spPr>
                      </pic:pic>
                    </a:graphicData>
                  </a:graphic>
                </wp:inline>
              </w:drawing>
            </w:r>
          </w:p>
        </w:tc>
      </w:tr>
    </w:tbl>
    <w:p>
      <w:pPr>
        <w:keepNext w:val="0"/>
        <w:keepLines w:val="0"/>
        <w:pageBreakBefore w:val="0"/>
        <w:kinsoku/>
        <w:wordWrap/>
        <w:topLinePunct w:val="0"/>
        <w:bidi w:val="0"/>
        <w:spacing w:line="560" w:lineRule="exact"/>
        <w:ind w:firstLine="560" w:firstLineChars="200"/>
        <w:jc w:val="center"/>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图1</w:t>
      </w:r>
    </w:p>
    <w:p>
      <w:pPr>
        <w:keepNext w:val="0"/>
        <w:keepLines w:val="0"/>
        <w:pageBreakBefore w:val="0"/>
        <w:kinsoku/>
        <w:wordWrap/>
        <w:topLinePunct w:val="0"/>
        <w:bidi w:val="0"/>
        <w:spacing w:line="560" w:lineRule="exact"/>
        <w:ind w:firstLine="643" w:firstLineChars="200"/>
        <w:textAlignment w:val="auto"/>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2</w:t>
      </w:r>
      <w:r>
        <w:rPr>
          <w:rFonts w:hint="eastAsia" w:ascii="仿宋_GB2312" w:hAnsi="仿宋_GB2312" w:eastAsia="仿宋_GB2312" w:cs="仿宋_GB2312"/>
          <w:b/>
          <w:bCs/>
          <w:color w:val="000000"/>
          <w:sz w:val="32"/>
          <w:szCs w:val="32"/>
          <w:lang w:val="en-US" w:eastAsia="zh-CN"/>
        </w:rPr>
        <w:t>.</w:t>
      </w:r>
      <w:r>
        <w:rPr>
          <w:rFonts w:hint="eastAsia" w:ascii="仿宋_GB2312" w:hAnsi="仿宋_GB2312" w:eastAsia="仿宋_GB2312" w:cs="仿宋_GB2312"/>
          <w:b/>
          <w:bCs/>
          <w:color w:val="000000"/>
          <w:sz w:val="32"/>
          <w:szCs w:val="32"/>
        </w:rPr>
        <w:t>认证标志</w:t>
      </w:r>
    </w:p>
    <w:p>
      <w:pPr>
        <w:keepNext w:val="0"/>
        <w:keepLines w:val="0"/>
        <w:pageBreakBefore w:val="0"/>
        <w:kinsoku/>
        <w:wordWrap/>
        <w:topLinePunct w:val="0"/>
        <w:bidi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2020年10月1日以后生产的家用燃气具必须要有CCC强制认证标识。在全国认证认可信息公共服务平台网站，可对企业信息和获认证型号进一步核实。（见图2）</w:t>
      </w:r>
    </w:p>
    <w:tbl>
      <w:tblPr>
        <w:tblStyle w:val="10"/>
        <w:tblW w:w="0" w:type="auto"/>
        <w:tblCellSpacing w:w="0" w:type="dxa"/>
        <w:tblInd w:w="0" w:type="dxa"/>
        <w:tblLayout w:type="fixed"/>
        <w:tblCellMar>
          <w:top w:w="0" w:type="dxa"/>
          <w:left w:w="0" w:type="dxa"/>
          <w:bottom w:w="0" w:type="dxa"/>
          <w:right w:w="0" w:type="dxa"/>
        </w:tblCellMar>
      </w:tblPr>
      <w:tblGrid>
        <w:gridCol w:w="810"/>
        <w:gridCol w:w="7815"/>
      </w:tblGrid>
      <w:tr>
        <w:tblPrEx>
          <w:tblCellMar>
            <w:top w:w="0" w:type="dxa"/>
            <w:left w:w="0" w:type="dxa"/>
            <w:bottom w:w="0" w:type="dxa"/>
            <w:right w:w="0" w:type="dxa"/>
          </w:tblCellMar>
        </w:tblPrEx>
        <w:trPr>
          <w:gridAfter w:val="1"/>
          <w:wBefore w:w="0" w:type="dxa"/>
          <w:wAfter w:w="0" w:type="dxa"/>
          <w:tblCellSpacing w:w="0" w:type="dxa"/>
        </w:trPr>
        <w:tc>
          <w:tcPr>
            <w:tcW w:w="810" w:type="dxa"/>
            <w:noWrap w:val="0"/>
            <w:vAlign w:val="center"/>
          </w:tcPr>
          <w:p>
            <w:pPr>
              <w:keepNext w:val="0"/>
              <w:keepLines w:val="0"/>
              <w:pageBreakBefore w:val="0"/>
              <w:widowControl/>
              <w:kinsoku/>
              <w:wordWrap/>
              <w:topLinePunct w:val="0"/>
              <w:bidi w:val="0"/>
              <w:spacing w:line="560" w:lineRule="exact"/>
              <w:ind w:firstLine="480" w:firstLineChars="200"/>
              <w:jc w:val="left"/>
              <w:textAlignment w:val="auto"/>
              <w:rPr>
                <w:rFonts w:hint="eastAsia" w:ascii="仿宋_GB2312" w:hAnsi="仿宋_GB2312" w:eastAsia="仿宋_GB2312" w:cs="仿宋_GB2312"/>
                <w:kern w:val="0"/>
                <w:sz w:val="24"/>
                <w:szCs w:val="24"/>
              </w:rPr>
            </w:pPr>
          </w:p>
        </w:tc>
      </w:tr>
      <w:tr>
        <w:tblPrEx>
          <w:tblCellMar>
            <w:top w:w="0" w:type="dxa"/>
            <w:left w:w="0" w:type="dxa"/>
            <w:bottom w:w="0" w:type="dxa"/>
            <w:right w:w="0" w:type="dxa"/>
          </w:tblCellMar>
        </w:tblPrEx>
        <w:trPr>
          <w:wBefore w:w="0" w:type="dxa"/>
          <w:wAfter w:w="0" w:type="dxa"/>
          <w:tblCellSpacing w:w="0" w:type="dxa"/>
        </w:trPr>
        <w:tc>
          <w:tcPr>
            <w:tcW w:w="810" w:type="dxa"/>
            <w:noWrap w:val="0"/>
            <w:vAlign w:val="center"/>
          </w:tcPr>
          <w:p>
            <w:pPr>
              <w:keepNext w:val="0"/>
              <w:keepLines w:val="0"/>
              <w:pageBreakBefore w:val="0"/>
              <w:widowControl/>
              <w:kinsoku/>
              <w:wordWrap/>
              <w:topLinePunct w:val="0"/>
              <w:bidi w:val="0"/>
              <w:spacing w:line="560" w:lineRule="exact"/>
              <w:ind w:firstLine="480" w:firstLineChars="200"/>
              <w:jc w:val="left"/>
              <w:textAlignment w:val="auto"/>
              <w:rPr>
                <w:rFonts w:hint="eastAsia" w:ascii="仿宋_GB2312" w:hAnsi="仿宋_GB2312" w:eastAsia="仿宋_GB2312" w:cs="仿宋_GB2312"/>
                <w:kern w:val="0"/>
                <w:sz w:val="24"/>
                <w:szCs w:val="24"/>
              </w:rPr>
            </w:pPr>
          </w:p>
        </w:tc>
        <w:tc>
          <w:tcPr>
            <w:tcW w:w="7815" w:type="dxa"/>
            <w:noWrap w:val="0"/>
            <w:vAlign w:val="center"/>
          </w:tcPr>
          <w:p>
            <w:pPr>
              <w:bidi w:val="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drawing>
                <wp:inline distT="0" distB="0" distL="114300" distR="114300">
                  <wp:extent cx="4962525" cy="1895475"/>
                  <wp:effectExtent l="0" t="0" r="9525" b="9525"/>
                  <wp:docPr id="2" name="图片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ps2"/>
                          <pic:cNvPicPr>
                            <a:picLocks noChangeAspect="1"/>
                          </pic:cNvPicPr>
                        </pic:nvPicPr>
                        <pic:blipFill>
                          <a:blip r:embed="rId6"/>
                          <a:stretch>
                            <a:fillRect/>
                          </a:stretch>
                        </pic:blipFill>
                        <pic:spPr>
                          <a:xfrm>
                            <a:off x="0" y="0"/>
                            <a:ext cx="4962525" cy="1895475"/>
                          </a:xfrm>
                          <a:prstGeom prst="rect">
                            <a:avLst/>
                          </a:prstGeom>
                          <a:noFill/>
                          <a:ln>
                            <a:noFill/>
                          </a:ln>
                        </pic:spPr>
                      </pic:pic>
                    </a:graphicData>
                  </a:graphic>
                </wp:inline>
              </w:drawing>
            </w:r>
          </w:p>
        </w:tc>
      </w:tr>
    </w:tbl>
    <w:p>
      <w:pPr>
        <w:keepNext w:val="0"/>
        <w:keepLines w:val="0"/>
        <w:pageBreakBefore w:val="0"/>
        <w:kinsoku/>
        <w:wordWrap/>
        <w:topLinePunct w:val="0"/>
        <w:bidi w:val="0"/>
        <w:spacing w:line="560" w:lineRule="exact"/>
        <w:ind w:firstLine="560" w:firstLineChars="200"/>
        <w:jc w:val="center"/>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图2</w:t>
      </w:r>
    </w:p>
    <w:p>
      <w:pPr>
        <w:keepNext w:val="0"/>
        <w:keepLines w:val="0"/>
        <w:pageBreakBefore w:val="0"/>
        <w:kinsoku/>
        <w:wordWrap/>
        <w:topLinePunct w:val="0"/>
        <w:bidi w:val="0"/>
        <w:spacing w:line="560" w:lineRule="exact"/>
        <w:ind w:firstLine="643"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lang w:val="en-US" w:eastAsia="zh-CN"/>
        </w:rPr>
        <w:t>3.</w:t>
      </w:r>
      <w:r>
        <w:rPr>
          <w:rFonts w:hint="eastAsia" w:ascii="仿宋_GB2312" w:hAnsi="仿宋_GB2312" w:eastAsia="仿宋_GB2312" w:cs="仿宋_GB2312"/>
          <w:b/>
          <w:bCs/>
          <w:color w:val="000000"/>
          <w:sz w:val="32"/>
          <w:szCs w:val="32"/>
        </w:rPr>
        <w:t>燃气导管结构</w:t>
      </w:r>
    </w:p>
    <w:p>
      <w:pPr>
        <w:keepNext w:val="0"/>
        <w:keepLines w:val="0"/>
        <w:pageBreakBefore w:val="0"/>
        <w:kinsoku/>
        <w:wordWrap/>
        <w:topLinePunct w:val="0"/>
        <w:bidi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当燃气导管采用软管接头，应符合GB 16410-2007《家用燃气灶具》中所示的两种结构（Φ9.5mm和Φ13mm），俗称“宝塔头”结构（见图3）。燃气导管结构不合格，可能导致燃气管脱落、漏气等风险。</w:t>
      </w:r>
    </w:p>
    <w:tbl>
      <w:tblPr>
        <w:tblStyle w:val="10"/>
        <w:tblW w:w="0" w:type="auto"/>
        <w:jc w:val="center"/>
        <w:tblCellSpacing w:w="0" w:type="dxa"/>
        <w:tblLayout w:type="fixed"/>
        <w:tblCellMar>
          <w:top w:w="0" w:type="dxa"/>
          <w:left w:w="0" w:type="dxa"/>
          <w:bottom w:w="0" w:type="dxa"/>
          <w:right w:w="0" w:type="dxa"/>
        </w:tblCellMar>
      </w:tblPr>
      <w:tblGrid>
        <w:gridCol w:w="570"/>
        <w:gridCol w:w="8325"/>
      </w:tblGrid>
      <w:tr>
        <w:tblPrEx>
          <w:tblCellMar>
            <w:top w:w="0" w:type="dxa"/>
            <w:left w:w="0" w:type="dxa"/>
            <w:bottom w:w="0" w:type="dxa"/>
            <w:right w:w="0" w:type="dxa"/>
          </w:tblCellMar>
        </w:tblPrEx>
        <w:trPr>
          <w:gridAfter w:val="1"/>
          <w:wAfter w:w="0" w:type="dxa"/>
          <w:trHeight w:val="290" w:hRule="atLeast"/>
          <w:tblCellSpacing w:w="0" w:type="dxa"/>
          <w:jc w:val="center"/>
        </w:trPr>
        <w:tc>
          <w:tcPr>
            <w:tcW w:w="570" w:type="dxa"/>
            <w:noWrap w:val="0"/>
            <w:vAlign w:val="center"/>
          </w:tcPr>
          <w:p>
            <w:pPr>
              <w:keepNext w:val="0"/>
              <w:keepLines w:val="0"/>
              <w:pageBreakBefore w:val="0"/>
              <w:widowControl/>
              <w:kinsoku/>
              <w:wordWrap/>
              <w:topLinePunct w:val="0"/>
              <w:bidi w:val="0"/>
              <w:spacing w:line="560" w:lineRule="exact"/>
              <w:ind w:firstLine="480" w:firstLineChars="200"/>
              <w:jc w:val="left"/>
              <w:textAlignment w:val="auto"/>
              <w:rPr>
                <w:rFonts w:hint="eastAsia" w:ascii="仿宋_GB2312" w:hAnsi="仿宋_GB2312" w:eastAsia="仿宋_GB2312" w:cs="仿宋_GB2312"/>
                <w:kern w:val="0"/>
                <w:sz w:val="24"/>
                <w:szCs w:val="24"/>
              </w:rPr>
            </w:pPr>
          </w:p>
        </w:tc>
      </w:tr>
      <w:tr>
        <w:tblPrEx>
          <w:tblCellMar>
            <w:top w:w="0" w:type="dxa"/>
            <w:left w:w="0" w:type="dxa"/>
            <w:bottom w:w="0" w:type="dxa"/>
            <w:right w:w="0" w:type="dxa"/>
          </w:tblCellMar>
        </w:tblPrEx>
        <w:trPr>
          <w:trHeight w:val="1265" w:hRule="atLeast"/>
          <w:tblCellSpacing w:w="0" w:type="dxa"/>
          <w:jc w:val="center"/>
        </w:trPr>
        <w:tc>
          <w:tcPr>
            <w:tcW w:w="570" w:type="dxa"/>
            <w:noWrap w:val="0"/>
            <w:vAlign w:val="center"/>
          </w:tcPr>
          <w:p>
            <w:pPr>
              <w:keepNext w:val="0"/>
              <w:keepLines w:val="0"/>
              <w:pageBreakBefore w:val="0"/>
              <w:widowControl/>
              <w:kinsoku/>
              <w:wordWrap/>
              <w:topLinePunct w:val="0"/>
              <w:bidi w:val="0"/>
              <w:spacing w:line="560" w:lineRule="exact"/>
              <w:ind w:firstLine="480" w:firstLineChars="200"/>
              <w:jc w:val="left"/>
              <w:textAlignment w:val="auto"/>
              <w:rPr>
                <w:rFonts w:hint="eastAsia" w:ascii="仿宋_GB2312" w:hAnsi="仿宋_GB2312" w:eastAsia="仿宋_GB2312" w:cs="仿宋_GB2312"/>
                <w:kern w:val="0"/>
                <w:sz w:val="24"/>
                <w:szCs w:val="24"/>
              </w:rPr>
            </w:pPr>
          </w:p>
        </w:tc>
        <w:tc>
          <w:tcPr>
            <w:tcW w:w="8325" w:type="dxa"/>
            <w:noWrap w:val="0"/>
            <w:vAlign w:val="center"/>
          </w:tcPr>
          <w:p>
            <w:pPr>
              <w:bidi w:val="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drawing>
                <wp:inline distT="0" distB="0" distL="114300" distR="114300">
                  <wp:extent cx="5286375" cy="1828800"/>
                  <wp:effectExtent l="0" t="0" r="9525" b="0"/>
                  <wp:docPr id="3" name="图片 3"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ps3"/>
                          <pic:cNvPicPr>
                            <a:picLocks noChangeAspect="1"/>
                          </pic:cNvPicPr>
                        </pic:nvPicPr>
                        <pic:blipFill>
                          <a:blip r:embed="rId7"/>
                          <a:stretch>
                            <a:fillRect/>
                          </a:stretch>
                        </pic:blipFill>
                        <pic:spPr>
                          <a:xfrm>
                            <a:off x="0" y="0"/>
                            <a:ext cx="5286375" cy="1828800"/>
                          </a:xfrm>
                          <a:prstGeom prst="rect">
                            <a:avLst/>
                          </a:prstGeom>
                          <a:noFill/>
                          <a:ln>
                            <a:noFill/>
                          </a:ln>
                        </pic:spPr>
                      </pic:pic>
                    </a:graphicData>
                  </a:graphic>
                </wp:inline>
              </w:drawing>
            </w:r>
          </w:p>
        </w:tc>
      </w:tr>
    </w:tbl>
    <w:p>
      <w:pPr>
        <w:keepNext w:val="0"/>
        <w:keepLines w:val="0"/>
        <w:pageBreakBefore w:val="0"/>
        <w:kinsoku/>
        <w:wordWrap/>
        <w:topLinePunct w:val="0"/>
        <w:bidi w:val="0"/>
        <w:spacing w:line="560" w:lineRule="exact"/>
        <w:ind w:firstLine="560" w:firstLineChars="200"/>
        <w:jc w:val="center"/>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图3</w:t>
      </w:r>
    </w:p>
    <w:p>
      <w:pPr>
        <w:keepNext w:val="0"/>
        <w:keepLines w:val="0"/>
        <w:pageBreakBefore w:val="0"/>
        <w:kinsoku/>
        <w:wordWrap/>
        <w:topLinePunct w:val="0"/>
        <w:bidi w:val="0"/>
        <w:spacing w:line="560" w:lineRule="exact"/>
        <w:ind w:firstLine="643" w:firstLineChars="200"/>
        <w:textAlignment w:val="auto"/>
        <w:rPr>
          <w:rFonts w:hint="eastAsia" w:ascii="仿宋_GB2312" w:hAnsi="仿宋_GB2312" w:eastAsia="仿宋_GB2312" w:cs="仿宋_GB2312"/>
          <w:b/>
          <w:color w:val="000000"/>
          <w:sz w:val="32"/>
          <w:szCs w:val="32"/>
        </w:rPr>
      </w:pPr>
      <w:r>
        <w:rPr>
          <w:rFonts w:hint="eastAsia" w:ascii="仿宋_GB2312" w:hAnsi="仿宋_GB2312" w:eastAsia="仿宋_GB2312" w:cs="仿宋_GB2312"/>
          <w:b/>
          <w:bCs/>
          <w:color w:val="000000"/>
          <w:sz w:val="32"/>
          <w:szCs w:val="32"/>
        </w:rPr>
        <w:t>4</w:t>
      </w:r>
      <w:r>
        <w:rPr>
          <w:rFonts w:hint="eastAsia" w:ascii="仿宋_GB2312" w:hAnsi="仿宋_GB2312" w:eastAsia="仿宋_GB2312" w:cs="仿宋_GB2312"/>
          <w:b/>
          <w:bCs/>
          <w:color w:val="000000"/>
          <w:sz w:val="32"/>
          <w:szCs w:val="32"/>
          <w:lang w:val="en-US" w:eastAsia="zh-CN"/>
        </w:rPr>
        <w:t>.</w:t>
      </w:r>
      <w:r>
        <w:rPr>
          <w:rFonts w:hint="eastAsia" w:ascii="仿宋_GB2312" w:hAnsi="仿宋_GB2312" w:eastAsia="仿宋_GB2312" w:cs="仿宋_GB2312"/>
          <w:b/>
          <w:bCs/>
          <w:color w:val="000000"/>
          <w:sz w:val="32"/>
          <w:szCs w:val="32"/>
        </w:rPr>
        <w:t>执行标准</w:t>
      </w:r>
    </w:p>
    <w:p>
      <w:pPr>
        <w:keepNext w:val="0"/>
        <w:keepLines w:val="0"/>
        <w:pageBreakBefore w:val="0"/>
        <w:kinsoku/>
        <w:wordWrap/>
        <w:topLinePunct w:val="0"/>
        <w:bidi w:val="0"/>
        <w:spacing w:line="560" w:lineRule="exact"/>
        <w:ind w:firstLine="60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pacing w:val="-10"/>
          <w:sz w:val="32"/>
          <w:szCs w:val="32"/>
        </w:rPr>
        <w:t>2022年1月1日以后生产的家用燃气灶必须执行GB 16410-2020</w:t>
      </w:r>
      <w:r>
        <w:rPr>
          <w:rFonts w:hint="eastAsia" w:ascii="仿宋_GB2312" w:hAnsi="仿宋_GB2312" w:eastAsia="仿宋_GB2312" w:cs="仿宋_GB2312"/>
          <w:color w:val="000000"/>
          <w:sz w:val="32"/>
          <w:szCs w:val="32"/>
        </w:rPr>
        <w:t>《家用燃气灶具》新标准。</w:t>
      </w:r>
    </w:p>
    <w:p>
      <w:pPr>
        <w:keepNext w:val="0"/>
        <w:keepLines w:val="0"/>
        <w:pageBreakBefore w:val="0"/>
        <w:kinsoku/>
        <w:wordWrap/>
        <w:topLinePunct w:val="0"/>
        <w:bidi w:val="0"/>
        <w:spacing w:line="560" w:lineRule="exact"/>
        <w:ind w:firstLine="643" w:firstLineChars="200"/>
        <w:textAlignment w:val="auto"/>
        <w:rPr>
          <w:rFonts w:hint="eastAsia" w:ascii="仿宋_GB2312" w:hAnsi="仿宋_GB2312" w:eastAsia="仿宋_GB2312" w:cs="仿宋_GB2312"/>
          <w:b/>
          <w:bCs/>
          <w:color w:val="000000"/>
          <w:sz w:val="32"/>
          <w:szCs w:val="32"/>
        </w:rPr>
      </w:pPr>
      <w:r>
        <w:rPr>
          <w:rFonts w:hint="eastAsia" w:ascii="楷体_GB2312" w:hAnsi="楷体_GB2312" w:eastAsia="楷体_GB2312" w:cs="楷体_GB2312"/>
          <w:b/>
          <w:bCs/>
          <w:color w:val="000000"/>
          <w:sz w:val="32"/>
          <w:szCs w:val="32"/>
        </w:rPr>
        <w:t>（二）商用燃气灶具（熄火保护装置）</w:t>
      </w:r>
    </w:p>
    <w:p>
      <w:pPr>
        <w:keepNext w:val="0"/>
        <w:keepLines w:val="0"/>
        <w:pageBreakBefore w:val="0"/>
        <w:kinsoku/>
        <w:wordWrap/>
        <w:topLinePunct w:val="0"/>
        <w:bidi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目前市场上绝大多数产品使用的是热电偶式熄火保护装置，灶头有两个探针。（见图4）</w:t>
      </w:r>
    </w:p>
    <w:tbl>
      <w:tblPr>
        <w:tblStyle w:val="10"/>
        <w:tblW w:w="0" w:type="auto"/>
        <w:tblCellSpacing w:w="0" w:type="dxa"/>
        <w:tblInd w:w="0" w:type="dxa"/>
        <w:tblLayout w:type="fixed"/>
        <w:tblCellMar>
          <w:top w:w="0" w:type="dxa"/>
          <w:left w:w="0" w:type="dxa"/>
          <w:bottom w:w="0" w:type="dxa"/>
          <w:right w:w="0" w:type="dxa"/>
        </w:tblCellMar>
      </w:tblPr>
      <w:tblGrid>
        <w:gridCol w:w="930"/>
        <w:gridCol w:w="7829"/>
      </w:tblGrid>
      <w:tr>
        <w:tblPrEx>
          <w:tblCellMar>
            <w:top w:w="0" w:type="dxa"/>
            <w:left w:w="0" w:type="dxa"/>
            <w:bottom w:w="0" w:type="dxa"/>
            <w:right w:w="0" w:type="dxa"/>
          </w:tblCellMar>
        </w:tblPrEx>
        <w:trPr>
          <w:gridAfter w:val="1"/>
          <w:wBefore w:w="0" w:type="dxa"/>
          <w:wAfter w:w="0" w:type="dxa"/>
          <w:trHeight w:val="151" w:hRule="atLeast"/>
          <w:tblCellSpacing w:w="0" w:type="dxa"/>
        </w:trPr>
        <w:tc>
          <w:tcPr>
            <w:tcW w:w="930" w:type="dxa"/>
            <w:noWrap w:val="0"/>
            <w:vAlign w:val="center"/>
          </w:tcPr>
          <w:p>
            <w:pPr>
              <w:keepNext w:val="0"/>
              <w:keepLines w:val="0"/>
              <w:pageBreakBefore w:val="0"/>
              <w:widowControl/>
              <w:kinsoku/>
              <w:wordWrap/>
              <w:topLinePunct w:val="0"/>
              <w:bidi w:val="0"/>
              <w:spacing w:line="560" w:lineRule="exact"/>
              <w:ind w:firstLine="480" w:firstLineChars="200"/>
              <w:jc w:val="left"/>
              <w:textAlignment w:val="auto"/>
              <w:rPr>
                <w:rFonts w:hint="eastAsia" w:ascii="仿宋_GB2312" w:hAnsi="仿宋_GB2312" w:eastAsia="仿宋_GB2312" w:cs="仿宋_GB2312"/>
                <w:kern w:val="0"/>
                <w:sz w:val="24"/>
                <w:szCs w:val="24"/>
              </w:rPr>
            </w:pPr>
          </w:p>
        </w:tc>
      </w:tr>
      <w:tr>
        <w:tblPrEx>
          <w:tblCellMar>
            <w:top w:w="0" w:type="dxa"/>
            <w:left w:w="0" w:type="dxa"/>
            <w:bottom w:w="0" w:type="dxa"/>
            <w:right w:w="0" w:type="dxa"/>
          </w:tblCellMar>
        </w:tblPrEx>
        <w:trPr>
          <w:wBefore w:w="0" w:type="dxa"/>
          <w:wAfter w:w="0" w:type="dxa"/>
          <w:tblCellSpacing w:w="0" w:type="dxa"/>
        </w:trPr>
        <w:tc>
          <w:tcPr>
            <w:tcW w:w="930" w:type="dxa"/>
            <w:noWrap w:val="0"/>
            <w:vAlign w:val="center"/>
          </w:tcPr>
          <w:p>
            <w:pPr>
              <w:keepNext w:val="0"/>
              <w:keepLines w:val="0"/>
              <w:pageBreakBefore w:val="0"/>
              <w:widowControl/>
              <w:kinsoku/>
              <w:wordWrap/>
              <w:topLinePunct w:val="0"/>
              <w:bidi w:val="0"/>
              <w:spacing w:line="560" w:lineRule="exact"/>
              <w:ind w:firstLine="480" w:firstLineChars="200"/>
              <w:jc w:val="left"/>
              <w:textAlignment w:val="auto"/>
              <w:rPr>
                <w:rFonts w:hint="eastAsia" w:ascii="仿宋_GB2312" w:hAnsi="仿宋_GB2312" w:eastAsia="仿宋_GB2312" w:cs="仿宋_GB2312"/>
                <w:kern w:val="0"/>
                <w:sz w:val="24"/>
                <w:szCs w:val="24"/>
              </w:rPr>
            </w:pPr>
          </w:p>
        </w:tc>
        <w:tc>
          <w:tcPr>
            <w:tcW w:w="7829" w:type="dxa"/>
            <w:noWrap w:val="0"/>
            <w:vAlign w:val="center"/>
          </w:tcPr>
          <w:p>
            <w:pPr>
              <w:bidi w:val="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drawing>
                <wp:inline distT="0" distB="0" distL="114300" distR="114300">
                  <wp:extent cx="4971415" cy="1790700"/>
                  <wp:effectExtent l="0" t="0" r="635" b="0"/>
                  <wp:docPr id="4" name="图片 5"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wps4"/>
                          <pic:cNvPicPr>
                            <a:picLocks noChangeAspect="1"/>
                          </pic:cNvPicPr>
                        </pic:nvPicPr>
                        <pic:blipFill>
                          <a:blip r:embed="rId8"/>
                          <a:stretch>
                            <a:fillRect/>
                          </a:stretch>
                        </pic:blipFill>
                        <pic:spPr>
                          <a:xfrm>
                            <a:off x="0" y="0"/>
                            <a:ext cx="4971415" cy="1790700"/>
                          </a:xfrm>
                          <a:prstGeom prst="rect">
                            <a:avLst/>
                          </a:prstGeom>
                          <a:noFill/>
                          <a:ln>
                            <a:noFill/>
                          </a:ln>
                        </pic:spPr>
                      </pic:pic>
                    </a:graphicData>
                  </a:graphic>
                </wp:inline>
              </w:drawing>
            </w:r>
          </w:p>
        </w:tc>
      </w:tr>
    </w:tbl>
    <w:p>
      <w:pPr>
        <w:keepNext w:val="0"/>
        <w:keepLines w:val="0"/>
        <w:pageBreakBefore w:val="0"/>
        <w:kinsoku/>
        <w:wordWrap/>
        <w:topLinePunct w:val="0"/>
        <w:bidi w:val="0"/>
        <w:spacing w:line="560" w:lineRule="exact"/>
        <w:ind w:firstLine="560" w:firstLineChars="200"/>
        <w:jc w:val="center"/>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图4</w:t>
      </w:r>
    </w:p>
    <w:p>
      <w:pPr>
        <w:keepNext w:val="0"/>
        <w:keepLines w:val="0"/>
        <w:pageBreakBefore w:val="0"/>
        <w:kinsoku/>
        <w:wordWrap/>
        <w:topLinePunct w:val="0"/>
        <w:bidi w:val="0"/>
        <w:spacing w:line="560" w:lineRule="exact"/>
        <w:ind w:firstLine="643" w:firstLineChars="200"/>
        <w:textAlignment w:val="auto"/>
        <w:rPr>
          <w:rFonts w:hint="eastAsia" w:ascii="楷体_GB2312" w:hAnsi="楷体_GB2312" w:eastAsia="楷体_GB2312" w:cs="楷体_GB2312"/>
          <w:b/>
          <w:bCs/>
          <w:color w:val="000000"/>
          <w:sz w:val="32"/>
          <w:szCs w:val="32"/>
        </w:rPr>
      </w:pPr>
      <w:r>
        <w:rPr>
          <w:rFonts w:hint="eastAsia" w:ascii="楷体_GB2312" w:hAnsi="楷体_GB2312" w:eastAsia="楷体_GB2312" w:cs="楷体_GB2312"/>
          <w:b/>
          <w:bCs/>
          <w:color w:val="000000"/>
          <w:sz w:val="32"/>
          <w:szCs w:val="32"/>
        </w:rPr>
        <w:t>（三）橡胶和塑料软管（产品标志）</w:t>
      </w:r>
    </w:p>
    <w:p>
      <w:pPr>
        <w:keepNext w:val="0"/>
        <w:keepLines w:val="0"/>
        <w:pageBreakBefore w:val="0"/>
        <w:kinsoku/>
        <w:wordWrap/>
        <w:topLinePunct w:val="0"/>
        <w:bidi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燃气具连接用软管，是用于家用燃气具出口与用户燃气燃烧器具连接用的软管。根据材料不同分为：金属（波纹）软管和非金属（橡胶或橡塑复合）软管。依据GB55009-2021《燃气工程项目规范》，从2022年1月开始，居民家中不得使用常用的老式燃气胶管，老式燃气胶管容易被老鼠咬破，且使用年限无法满足相关要求。橡胶或橡塑软管上连续长度每隔300mm或单根软管应标注：产品名称、规格、制造商名称或缩写、产品标准号、制造季度和年份、使用期限等内容。（见图5）</w:t>
      </w:r>
    </w:p>
    <w:tbl>
      <w:tblPr>
        <w:tblStyle w:val="10"/>
        <w:tblW w:w="0" w:type="auto"/>
        <w:jc w:val="center"/>
        <w:tblCellSpacing w:w="0" w:type="dxa"/>
        <w:tblLayout w:type="fixed"/>
        <w:tblCellMar>
          <w:top w:w="0" w:type="dxa"/>
          <w:left w:w="0" w:type="dxa"/>
          <w:bottom w:w="0" w:type="dxa"/>
          <w:right w:w="0" w:type="dxa"/>
        </w:tblCellMar>
      </w:tblPr>
      <w:tblGrid>
        <w:gridCol w:w="6"/>
        <w:gridCol w:w="8952"/>
      </w:tblGrid>
      <w:tr>
        <w:tblPrEx>
          <w:tblCellMar>
            <w:top w:w="0" w:type="dxa"/>
            <w:left w:w="0" w:type="dxa"/>
            <w:bottom w:w="0" w:type="dxa"/>
            <w:right w:w="0" w:type="dxa"/>
          </w:tblCellMar>
        </w:tblPrEx>
        <w:trPr>
          <w:gridAfter w:val="1"/>
          <w:wAfter w:w="0" w:type="dxa"/>
          <w:tblCellSpacing w:w="0" w:type="dxa"/>
          <w:jc w:val="center"/>
        </w:trPr>
        <w:tc>
          <w:tcPr>
            <w:tcW w:w="6" w:type="dxa"/>
            <w:noWrap w:val="0"/>
            <w:vAlign w:val="center"/>
          </w:tcPr>
          <w:p>
            <w:pPr>
              <w:keepNext w:val="0"/>
              <w:keepLines w:val="0"/>
              <w:pageBreakBefore w:val="0"/>
              <w:widowControl/>
              <w:kinsoku/>
              <w:wordWrap/>
              <w:topLinePunct w:val="0"/>
              <w:bidi w:val="0"/>
              <w:spacing w:line="560" w:lineRule="exact"/>
              <w:ind w:firstLine="480" w:firstLineChars="200"/>
              <w:jc w:val="left"/>
              <w:textAlignment w:val="auto"/>
              <w:rPr>
                <w:rFonts w:hint="eastAsia" w:ascii="仿宋_GB2312" w:hAnsi="仿宋_GB2312" w:eastAsia="仿宋_GB2312" w:cs="仿宋_GB2312"/>
                <w:kern w:val="0"/>
                <w:sz w:val="24"/>
                <w:szCs w:val="24"/>
              </w:rPr>
            </w:pPr>
          </w:p>
        </w:tc>
      </w:tr>
      <w:tr>
        <w:tblPrEx>
          <w:tblCellMar>
            <w:top w:w="0" w:type="dxa"/>
            <w:left w:w="0" w:type="dxa"/>
            <w:bottom w:w="0" w:type="dxa"/>
            <w:right w:w="0" w:type="dxa"/>
          </w:tblCellMar>
        </w:tblPrEx>
        <w:trPr>
          <w:tblCellSpacing w:w="0" w:type="dxa"/>
          <w:jc w:val="center"/>
        </w:trPr>
        <w:tc>
          <w:tcPr>
            <w:tcW w:w="6" w:type="dxa"/>
            <w:noWrap w:val="0"/>
            <w:vAlign w:val="center"/>
          </w:tcPr>
          <w:p>
            <w:pPr>
              <w:keepNext w:val="0"/>
              <w:keepLines w:val="0"/>
              <w:pageBreakBefore w:val="0"/>
              <w:widowControl/>
              <w:kinsoku/>
              <w:wordWrap/>
              <w:topLinePunct w:val="0"/>
              <w:bidi w:val="0"/>
              <w:spacing w:line="560" w:lineRule="exact"/>
              <w:ind w:firstLine="480" w:firstLineChars="200"/>
              <w:jc w:val="left"/>
              <w:textAlignment w:val="auto"/>
              <w:rPr>
                <w:rFonts w:hint="eastAsia" w:ascii="仿宋_GB2312" w:hAnsi="仿宋_GB2312" w:eastAsia="仿宋_GB2312" w:cs="仿宋_GB2312"/>
                <w:kern w:val="0"/>
                <w:sz w:val="24"/>
                <w:szCs w:val="24"/>
              </w:rPr>
            </w:pPr>
          </w:p>
        </w:tc>
        <w:tc>
          <w:tcPr>
            <w:tcW w:w="8952" w:type="dxa"/>
            <w:noWrap w:val="0"/>
            <w:vAlign w:val="center"/>
          </w:tcPr>
          <w:p>
            <w:pPr>
              <w:bidi w:val="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drawing>
                <wp:inline distT="0" distB="0" distL="114300" distR="114300">
                  <wp:extent cx="5828665" cy="2885440"/>
                  <wp:effectExtent l="0" t="0" r="635" b="10160"/>
                  <wp:docPr id="5" name="图片 6"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wps5"/>
                          <pic:cNvPicPr>
                            <a:picLocks noChangeAspect="1"/>
                          </pic:cNvPicPr>
                        </pic:nvPicPr>
                        <pic:blipFill>
                          <a:blip r:embed="rId9"/>
                          <a:stretch>
                            <a:fillRect/>
                          </a:stretch>
                        </pic:blipFill>
                        <pic:spPr>
                          <a:xfrm>
                            <a:off x="0" y="0"/>
                            <a:ext cx="5828665" cy="2885440"/>
                          </a:xfrm>
                          <a:prstGeom prst="rect">
                            <a:avLst/>
                          </a:prstGeom>
                          <a:noFill/>
                          <a:ln>
                            <a:noFill/>
                          </a:ln>
                        </pic:spPr>
                      </pic:pic>
                    </a:graphicData>
                  </a:graphic>
                </wp:inline>
              </w:drawing>
            </w:r>
          </w:p>
        </w:tc>
      </w:tr>
    </w:tbl>
    <w:p>
      <w:pPr>
        <w:keepNext w:val="0"/>
        <w:keepLines w:val="0"/>
        <w:pageBreakBefore w:val="0"/>
        <w:kinsoku/>
        <w:wordWrap/>
        <w:topLinePunct w:val="0"/>
        <w:bidi w:val="0"/>
        <w:spacing w:line="560" w:lineRule="exact"/>
        <w:ind w:firstLine="560" w:firstLineChars="200"/>
        <w:jc w:val="center"/>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图5</w:t>
      </w:r>
    </w:p>
    <w:p>
      <w:pPr>
        <w:keepNext w:val="0"/>
        <w:keepLines w:val="0"/>
        <w:pageBreakBefore w:val="0"/>
        <w:kinsoku/>
        <w:wordWrap/>
        <w:topLinePunct w:val="0"/>
        <w:bidi w:val="0"/>
        <w:spacing w:line="560" w:lineRule="exact"/>
        <w:ind w:firstLine="643" w:firstLineChars="200"/>
        <w:textAlignment w:val="auto"/>
        <w:rPr>
          <w:rFonts w:hint="eastAsia" w:ascii="仿宋_GB2312" w:hAnsi="仿宋_GB2312" w:eastAsia="仿宋_GB2312" w:cs="仿宋_GB2312"/>
          <w:color w:val="000000"/>
          <w:sz w:val="32"/>
          <w:szCs w:val="32"/>
        </w:rPr>
      </w:pPr>
      <w:r>
        <w:rPr>
          <w:rFonts w:hint="eastAsia" w:ascii="楷体_GB2312" w:hAnsi="楷体_GB2312" w:eastAsia="楷体_GB2312" w:cs="楷体_GB2312"/>
          <w:b/>
          <w:bCs/>
          <w:color w:val="000000"/>
          <w:sz w:val="32"/>
          <w:szCs w:val="32"/>
        </w:rPr>
        <w:t>（四）调压器（俗称：减压阀或调压阀）</w:t>
      </w:r>
    </w:p>
    <w:p>
      <w:pPr>
        <w:keepNext w:val="0"/>
        <w:keepLines w:val="0"/>
        <w:pageBreakBefore w:val="0"/>
        <w:kinsoku/>
        <w:wordWrap/>
        <w:topLinePunct w:val="0"/>
        <w:bidi w:val="0"/>
        <w:spacing w:line="560" w:lineRule="exact"/>
        <w:ind w:firstLine="643" w:firstLineChars="200"/>
        <w:textAlignment w:val="auto"/>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1</w:t>
      </w:r>
      <w:r>
        <w:rPr>
          <w:rFonts w:hint="eastAsia" w:ascii="仿宋_GB2312" w:hAnsi="仿宋_GB2312" w:eastAsia="仿宋_GB2312" w:cs="仿宋_GB2312"/>
          <w:b/>
          <w:bCs/>
          <w:color w:val="000000"/>
          <w:sz w:val="32"/>
          <w:szCs w:val="32"/>
          <w:lang w:val="en-US" w:eastAsia="zh-CN"/>
        </w:rPr>
        <w:t>.</w:t>
      </w:r>
      <w:r>
        <w:rPr>
          <w:rFonts w:hint="eastAsia" w:ascii="仿宋_GB2312" w:hAnsi="仿宋_GB2312" w:eastAsia="仿宋_GB2312" w:cs="仿宋_GB2312"/>
          <w:b/>
          <w:bCs/>
          <w:color w:val="000000"/>
          <w:sz w:val="32"/>
          <w:szCs w:val="32"/>
        </w:rPr>
        <w:t>产品标志</w:t>
      </w:r>
    </w:p>
    <w:p>
      <w:pPr>
        <w:keepNext w:val="0"/>
        <w:keepLines w:val="0"/>
        <w:pageBreakBefore w:val="0"/>
        <w:kinsoku/>
        <w:wordWrap/>
        <w:topLinePunct w:val="0"/>
        <w:bidi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包装内应附有说明书，合格证等。调压器壳体有制造厂名称（查询真伪）、商标、型号、生产日期及燃气流动方向。 </w:t>
      </w:r>
    </w:p>
    <w:p>
      <w:pPr>
        <w:keepNext w:val="0"/>
        <w:keepLines w:val="0"/>
        <w:pageBreakBefore w:val="0"/>
        <w:kinsoku/>
        <w:wordWrap/>
        <w:topLinePunct w:val="0"/>
        <w:bidi w:val="0"/>
        <w:spacing w:line="560" w:lineRule="exact"/>
        <w:ind w:firstLine="643" w:firstLineChars="200"/>
        <w:textAlignment w:val="auto"/>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2</w:t>
      </w:r>
      <w:r>
        <w:rPr>
          <w:rFonts w:hint="eastAsia" w:ascii="仿宋_GB2312" w:hAnsi="仿宋_GB2312" w:eastAsia="仿宋_GB2312" w:cs="仿宋_GB2312"/>
          <w:b/>
          <w:bCs/>
          <w:color w:val="000000"/>
          <w:sz w:val="32"/>
          <w:szCs w:val="32"/>
          <w:lang w:val="en-US" w:eastAsia="zh-CN"/>
        </w:rPr>
        <w:t>.</w:t>
      </w:r>
      <w:r>
        <w:rPr>
          <w:rFonts w:hint="eastAsia" w:ascii="仿宋_GB2312" w:hAnsi="仿宋_GB2312" w:eastAsia="仿宋_GB2312" w:cs="仿宋_GB2312"/>
          <w:b/>
          <w:bCs/>
          <w:color w:val="000000"/>
          <w:sz w:val="32"/>
          <w:szCs w:val="32"/>
        </w:rPr>
        <w:t>结构一</w:t>
      </w:r>
    </w:p>
    <w:p>
      <w:pPr>
        <w:keepNext w:val="0"/>
        <w:keepLines w:val="0"/>
        <w:pageBreakBefore w:val="0"/>
        <w:kinsoku/>
        <w:wordWrap/>
        <w:topLinePunct w:val="0"/>
        <w:bidi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调压器应采取可靠措施，防止改变调压器的设定状态，调压器设定状态的调节部件应被封固，即：调压器不能有调节功能。（见图6）</w:t>
      </w:r>
    </w:p>
    <w:tbl>
      <w:tblPr>
        <w:tblStyle w:val="10"/>
        <w:tblW w:w="0" w:type="auto"/>
        <w:tblCellSpacing w:w="0" w:type="dxa"/>
        <w:tblInd w:w="0" w:type="dxa"/>
        <w:tblLayout w:type="fixed"/>
        <w:tblCellMar>
          <w:top w:w="0" w:type="dxa"/>
          <w:left w:w="0" w:type="dxa"/>
          <w:bottom w:w="0" w:type="dxa"/>
          <w:right w:w="0" w:type="dxa"/>
        </w:tblCellMar>
      </w:tblPr>
      <w:tblGrid>
        <w:gridCol w:w="540"/>
        <w:gridCol w:w="8159"/>
      </w:tblGrid>
      <w:tr>
        <w:tblPrEx>
          <w:tblCellMar>
            <w:top w:w="0" w:type="dxa"/>
            <w:left w:w="0" w:type="dxa"/>
            <w:bottom w:w="0" w:type="dxa"/>
            <w:right w:w="0" w:type="dxa"/>
          </w:tblCellMar>
        </w:tblPrEx>
        <w:trPr>
          <w:gridAfter w:val="1"/>
          <w:wAfter w:w="0" w:type="dxa"/>
          <w:tblCellSpacing w:w="0" w:type="dxa"/>
        </w:trPr>
        <w:tc>
          <w:tcPr>
            <w:tcW w:w="540" w:type="dxa"/>
            <w:noWrap w:val="0"/>
            <w:vAlign w:val="center"/>
          </w:tcPr>
          <w:p>
            <w:pPr>
              <w:keepNext w:val="0"/>
              <w:keepLines w:val="0"/>
              <w:pageBreakBefore w:val="0"/>
              <w:widowControl/>
              <w:kinsoku/>
              <w:wordWrap/>
              <w:topLinePunct w:val="0"/>
              <w:bidi w:val="0"/>
              <w:spacing w:line="560" w:lineRule="exact"/>
              <w:ind w:firstLine="480" w:firstLineChars="200"/>
              <w:jc w:val="left"/>
              <w:textAlignment w:val="auto"/>
              <w:rPr>
                <w:rFonts w:hint="eastAsia" w:ascii="仿宋_GB2312" w:hAnsi="仿宋_GB2312" w:eastAsia="仿宋_GB2312" w:cs="仿宋_GB2312"/>
                <w:kern w:val="0"/>
                <w:sz w:val="24"/>
                <w:szCs w:val="24"/>
              </w:rPr>
            </w:pPr>
          </w:p>
        </w:tc>
      </w:tr>
      <w:tr>
        <w:tblPrEx>
          <w:tblCellMar>
            <w:top w:w="0" w:type="dxa"/>
            <w:left w:w="0" w:type="dxa"/>
            <w:bottom w:w="0" w:type="dxa"/>
            <w:right w:w="0" w:type="dxa"/>
          </w:tblCellMar>
        </w:tblPrEx>
        <w:trPr>
          <w:tblCellSpacing w:w="0" w:type="dxa"/>
        </w:trPr>
        <w:tc>
          <w:tcPr>
            <w:tcW w:w="540" w:type="dxa"/>
            <w:noWrap w:val="0"/>
            <w:vAlign w:val="center"/>
          </w:tcPr>
          <w:p>
            <w:pPr>
              <w:keepNext w:val="0"/>
              <w:keepLines w:val="0"/>
              <w:pageBreakBefore w:val="0"/>
              <w:widowControl/>
              <w:kinsoku/>
              <w:wordWrap/>
              <w:topLinePunct w:val="0"/>
              <w:bidi w:val="0"/>
              <w:spacing w:line="560" w:lineRule="exact"/>
              <w:ind w:firstLine="480" w:firstLineChars="200"/>
              <w:jc w:val="left"/>
              <w:textAlignment w:val="auto"/>
              <w:rPr>
                <w:rFonts w:hint="eastAsia" w:ascii="仿宋_GB2312" w:hAnsi="仿宋_GB2312" w:eastAsia="仿宋_GB2312" w:cs="仿宋_GB2312"/>
                <w:kern w:val="0"/>
                <w:sz w:val="24"/>
                <w:szCs w:val="24"/>
              </w:rPr>
            </w:pPr>
          </w:p>
        </w:tc>
        <w:tc>
          <w:tcPr>
            <w:tcW w:w="8159" w:type="dxa"/>
            <w:noWrap w:val="0"/>
            <w:vAlign w:val="center"/>
          </w:tcPr>
          <w:p>
            <w:pPr>
              <w:bidi w:val="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drawing>
                <wp:inline distT="0" distB="0" distL="114300" distR="114300">
                  <wp:extent cx="5180965" cy="1524000"/>
                  <wp:effectExtent l="0" t="0" r="635" b="0"/>
                  <wp:docPr id="6" name="图片 7" descr="wp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wps6"/>
                          <pic:cNvPicPr>
                            <a:picLocks noChangeAspect="1"/>
                          </pic:cNvPicPr>
                        </pic:nvPicPr>
                        <pic:blipFill>
                          <a:blip r:embed="rId10"/>
                          <a:stretch>
                            <a:fillRect/>
                          </a:stretch>
                        </pic:blipFill>
                        <pic:spPr>
                          <a:xfrm>
                            <a:off x="0" y="0"/>
                            <a:ext cx="5180965" cy="1524000"/>
                          </a:xfrm>
                          <a:prstGeom prst="rect">
                            <a:avLst/>
                          </a:prstGeom>
                          <a:noFill/>
                          <a:ln>
                            <a:noFill/>
                          </a:ln>
                        </pic:spPr>
                      </pic:pic>
                    </a:graphicData>
                  </a:graphic>
                </wp:inline>
              </w:drawing>
            </w:r>
          </w:p>
        </w:tc>
      </w:tr>
    </w:tbl>
    <w:p>
      <w:pPr>
        <w:keepNext w:val="0"/>
        <w:keepLines w:val="0"/>
        <w:pageBreakBefore w:val="0"/>
        <w:kinsoku/>
        <w:wordWrap/>
        <w:topLinePunct w:val="0"/>
        <w:bidi w:val="0"/>
        <w:spacing w:line="560" w:lineRule="exact"/>
        <w:jc w:val="center"/>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图6  从左到右分别为不带调节功能的调压器和带调节功能的调压器</w:t>
      </w:r>
    </w:p>
    <w:p>
      <w:pPr>
        <w:keepNext w:val="0"/>
        <w:keepLines w:val="0"/>
        <w:pageBreakBefore w:val="0"/>
        <w:kinsoku/>
        <w:wordWrap/>
        <w:topLinePunct w:val="0"/>
        <w:bidi w:val="0"/>
        <w:spacing w:line="560" w:lineRule="exact"/>
        <w:ind w:firstLine="643" w:firstLineChars="200"/>
        <w:textAlignment w:val="auto"/>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3</w:t>
      </w:r>
      <w:r>
        <w:rPr>
          <w:rFonts w:hint="eastAsia" w:ascii="仿宋_GB2312" w:hAnsi="仿宋_GB2312" w:eastAsia="仿宋_GB2312" w:cs="仿宋_GB2312"/>
          <w:b/>
          <w:bCs/>
          <w:color w:val="000000"/>
          <w:sz w:val="32"/>
          <w:szCs w:val="32"/>
          <w:lang w:val="en-US" w:eastAsia="zh-CN"/>
        </w:rPr>
        <w:t>.</w:t>
      </w:r>
      <w:r>
        <w:rPr>
          <w:rFonts w:hint="eastAsia" w:ascii="仿宋_GB2312" w:hAnsi="仿宋_GB2312" w:eastAsia="仿宋_GB2312" w:cs="仿宋_GB2312"/>
          <w:b/>
          <w:bCs/>
          <w:color w:val="000000"/>
          <w:sz w:val="32"/>
          <w:szCs w:val="32"/>
        </w:rPr>
        <w:t>结构二</w:t>
      </w:r>
    </w:p>
    <w:p>
      <w:pPr>
        <w:keepNext w:val="0"/>
        <w:keepLines w:val="0"/>
        <w:pageBreakBefore w:val="0"/>
        <w:kinsoku/>
        <w:wordWrap/>
        <w:topLinePunct w:val="0"/>
        <w:bidi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家用调压器出口为软管接头（“宝塔头”）时，应在进口侧或出口侧设置过流切断安全装置。（见图7）</w:t>
      </w:r>
    </w:p>
    <w:tbl>
      <w:tblPr>
        <w:tblStyle w:val="10"/>
        <w:tblW w:w="0" w:type="auto"/>
        <w:jc w:val="center"/>
        <w:tblCellSpacing w:w="0" w:type="dxa"/>
        <w:tblLayout w:type="fixed"/>
        <w:tblCellMar>
          <w:top w:w="0" w:type="dxa"/>
          <w:left w:w="0" w:type="dxa"/>
          <w:bottom w:w="0" w:type="dxa"/>
          <w:right w:w="0" w:type="dxa"/>
        </w:tblCellMar>
      </w:tblPr>
      <w:tblGrid>
        <w:gridCol w:w="495"/>
        <w:gridCol w:w="8084"/>
      </w:tblGrid>
      <w:tr>
        <w:tblPrEx>
          <w:tblCellMar>
            <w:top w:w="0" w:type="dxa"/>
            <w:left w:w="0" w:type="dxa"/>
            <w:bottom w:w="0" w:type="dxa"/>
            <w:right w:w="0" w:type="dxa"/>
          </w:tblCellMar>
        </w:tblPrEx>
        <w:trPr>
          <w:gridAfter w:val="1"/>
          <w:wBefore w:w="0" w:type="dxa"/>
          <w:wAfter w:w="0" w:type="dxa"/>
          <w:tblCellSpacing w:w="0" w:type="dxa"/>
          <w:jc w:val="center"/>
        </w:trPr>
        <w:tc>
          <w:tcPr>
            <w:tcW w:w="495" w:type="dxa"/>
            <w:noWrap w:val="0"/>
            <w:vAlign w:val="center"/>
          </w:tcPr>
          <w:p>
            <w:pPr>
              <w:keepNext w:val="0"/>
              <w:keepLines w:val="0"/>
              <w:pageBreakBefore w:val="0"/>
              <w:widowControl/>
              <w:kinsoku/>
              <w:wordWrap/>
              <w:topLinePunct w:val="0"/>
              <w:bidi w:val="0"/>
              <w:spacing w:line="560" w:lineRule="exact"/>
              <w:ind w:firstLine="480" w:firstLineChars="200"/>
              <w:jc w:val="left"/>
              <w:textAlignment w:val="auto"/>
              <w:rPr>
                <w:rFonts w:hint="eastAsia" w:ascii="仿宋_GB2312" w:hAnsi="仿宋_GB2312" w:eastAsia="仿宋_GB2312" w:cs="仿宋_GB2312"/>
                <w:kern w:val="0"/>
                <w:sz w:val="24"/>
                <w:szCs w:val="24"/>
              </w:rPr>
            </w:pPr>
          </w:p>
        </w:tc>
      </w:tr>
      <w:tr>
        <w:tblPrEx>
          <w:tblCellMar>
            <w:top w:w="0" w:type="dxa"/>
            <w:left w:w="0" w:type="dxa"/>
            <w:bottom w:w="0" w:type="dxa"/>
            <w:right w:w="0" w:type="dxa"/>
          </w:tblCellMar>
        </w:tblPrEx>
        <w:trPr>
          <w:wBefore w:w="0" w:type="dxa"/>
          <w:wAfter w:w="0" w:type="dxa"/>
          <w:tblCellSpacing w:w="0" w:type="dxa"/>
          <w:jc w:val="center"/>
        </w:trPr>
        <w:tc>
          <w:tcPr>
            <w:tcW w:w="495" w:type="dxa"/>
            <w:noWrap w:val="0"/>
            <w:vAlign w:val="center"/>
          </w:tcPr>
          <w:p>
            <w:pPr>
              <w:keepNext w:val="0"/>
              <w:keepLines w:val="0"/>
              <w:pageBreakBefore w:val="0"/>
              <w:widowControl/>
              <w:kinsoku/>
              <w:wordWrap/>
              <w:topLinePunct w:val="0"/>
              <w:bidi w:val="0"/>
              <w:spacing w:line="560" w:lineRule="exact"/>
              <w:ind w:firstLine="480" w:firstLineChars="200"/>
              <w:jc w:val="left"/>
              <w:textAlignment w:val="auto"/>
              <w:rPr>
                <w:rFonts w:hint="eastAsia" w:ascii="仿宋_GB2312" w:hAnsi="仿宋_GB2312" w:eastAsia="仿宋_GB2312" w:cs="仿宋_GB2312"/>
                <w:kern w:val="0"/>
                <w:sz w:val="24"/>
                <w:szCs w:val="24"/>
              </w:rPr>
            </w:pPr>
          </w:p>
        </w:tc>
        <w:tc>
          <w:tcPr>
            <w:tcW w:w="8084" w:type="dxa"/>
            <w:noWrap w:val="0"/>
            <w:vAlign w:val="center"/>
          </w:tcPr>
          <w:p>
            <w:pPr>
              <w:bidi w:val="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drawing>
                <wp:inline distT="0" distB="0" distL="114300" distR="114300">
                  <wp:extent cx="5133340" cy="1466850"/>
                  <wp:effectExtent l="0" t="0" r="10160" b="0"/>
                  <wp:docPr id="7" name="图片 8" descr="wp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wps7"/>
                          <pic:cNvPicPr>
                            <a:picLocks noChangeAspect="1"/>
                          </pic:cNvPicPr>
                        </pic:nvPicPr>
                        <pic:blipFill>
                          <a:blip r:embed="rId11"/>
                          <a:stretch>
                            <a:fillRect/>
                          </a:stretch>
                        </pic:blipFill>
                        <pic:spPr>
                          <a:xfrm>
                            <a:off x="0" y="0"/>
                            <a:ext cx="5133340" cy="1466850"/>
                          </a:xfrm>
                          <a:prstGeom prst="rect">
                            <a:avLst/>
                          </a:prstGeom>
                          <a:noFill/>
                          <a:ln>
                            <a:noFill/>
                          </a:ln>
                        </pic:spPr>
                      </pic:pic>
                    </a:graphicData>
                  </a:graphic>
                </wp:inline>
              </w:drawing>
            </w:r>
          </w:p>
        </w:tc>
      </w:tr>
    </w:tbl>
    <w:p>
      <w:pPr>
        <w:keepNext w:val="0"/>
        <w:keepLines w:val="0"/>
        <w:pageBreakBefore w:val="0"/>
        <w:kinsoku/>
        <w:wordWrap/>
        <w:topLinePunct w:val="0"/>
        <w:bidi w:val="0"/>
        <w:spacing w:line="560" w:lineRule="exact"/>
        <w:ind w:firstLine="560" w:firstLineChars="200"/>
        <w:jc w:val="center"/>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图7  从左到右分别为出口侧带过流切断安全装置和进口侧带过流切断安全装置</w:t>
      </w:r>
    </w:p>
    <w:p>
      <w:pPr>
        <w:keepNext w:val="0"/>
        <w:keepLines w:val="0"/>
        <w:pageBreakBefore w:val="0"/>
        <w:kinsoku/>
        <w:wordWrap/>
        <w:topLinePunct w:val="0"/>
        <w:bidi w:val="0"/>
        <w:spacing w:line="560" w:lineRule="exact"/>
        <w:ind w:firstLine="643" w:firstLineChars="200"/>
        <w:textAlignment w:val="auto"/>
        <w:rPr>
          <w:rFonts w:hint="eastAsia" w:ascii="仿宋_GB2312" w:hAnsi="仿宋_GB2312" w:eastAsia="仿宋_GB2312" w:cs="仿宋_GB2312"/>
          <w:b/>
          <w:bCs/>
          <w:color w:val="000000"/>
          <w:sz w:val="32"/>
          <w:szCs w:val="32"/>
        </w:rPr>
      </w:pPr>
      <w:r>
        <w:rPr>
          <w:rFonts w:hint="eastAsia" w:ascii="楷体_GB2312" w:hAnsi="楷体_GB2312" w:eastAsia="楷体_GB2312" w:cs="楷体_GB2312"/>
          <w:b/>
          <w:bCs/>
          <w:color w:val="000000"/>
          <w:sz w:val="32"/>
          <w:szCs w:val="32"/>
        </w:rPr>
        <w:t>（五）家用燃气快速热水器</w:t>
      </w:r>
    </w:p>
    <w:p>
      <w:pPr>
        <w:keepNext w:val="0"/>
        <w:keepLines w:val="0"/>
        <w:pageBreakBefore w:val="0"/>
        <w:kinsoku/>
        <w:wordWrap/>
        <w:topLinePunct w:val="0"/>
        <w:bidi w:val="0"/>
        <w:spacing w:line="560" w:lineRule="exact"/>
        <w:ind w:firstLine="643"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1</w:t>
      </w:r>
      <w:r>
        <w:rPr>
          <w:rFonts w:hint="eastAsia" w:ascii="仿宋_GB2312" w:hAnsi="仿宋_GB2312" w:eastAsia="仿宋_GB2312" w:cs="仿宋_GB2312"/>
          <w:b/>
          <w:bCs/>
          <w:color w:val="000000"/>
          <w:sz w:val="32"/>
          <w:szCs w:val="32"/>
          <w:lang w:val="en-US" w:eastAsia="zh-CN"/>
        </w:rPr>
        <w:t>.</w:t>
      </w:r>
      <w:r>
        <w:rPr>
          <w:rFonts w:hint="eastAsia" w:ascii="仿宋_GB2312" w:hAnsi="仿宋_GB2312" w:eastAsia="仿宋_GB2312" w:cs="仿宋_GB2312"/>
          <w:b/>
          <w:bCs/>
          <w:color w:val="000000"/>
          <w:sz w:val="32"/>
          <w:szCs w:val="32"/>
        </w:rPr>
        <w:t>家用燃气热水器应有CCC标志和能效标识；</w:t>
      </w:r>
    </w:p>
    <w:p>
      <w:pPr>
        <w:keepNext w:val="0"/>
        <w:keepLines w:val="0"/>
        <w:pageBreakBefore w:val="0"/>
        <w:kinsoku/>
        <w:wordWrap/>
        <w:topLinePunct w:val="0"/>
        <w:bidi w:val="0"/>
        <w:spacing w:line="560" w:lineRule="exact"/>
        <w:ind w:firstLine="643"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2</w:t>
      </w:r>
      <w:r>
        <w:rPr>
          <w:rFonts w:hint="eastAsia" w:ascii="仿宋_GB2312" w:hAnsi="仿宋_GB2312" w:eastAsia="仿宋_GB2312" w:cs="仿宋_GB2312"/>
          <w:b/>
          <w:bCs/>
          <w:color w:val="000000"/>
          <w:sz w:val="32"/>
          <w:szCs w:val="32"/>
          <w:lang w:val="en-US" w:eastAsia="zh-CN"/>
        </w:rPr>
        <w:t>.</w:t>
      </w:r>
      <w:r>
        <w:rPr>
          <w:rFonts w:hint="eastAsia" w:ascii="仿宋_GB2312" w:hAnsi="仿宋_GB2312" w:eastAsia="仿宋_GB2312" w:cs="仿宋_GB2312"/>
          <w:b/>
          <w:bCs/>
          <w:color w:val="000000"/>
          <w:sz w:val="32"/>
          <w:szCs w:val="32"/>
        </w:rPr>
        <w:t>热水器铭牌上内容应包括：</w:t>
      </w:r>
    </w:p>
    <w:p>
      <w:pPr>
        <w:pStyle w:val="28"/>
        <w:keepNext w:val="0"/>
        <w:keepLines w:val="0"/>
        <w:pageBreakBefore w:val="0"/>
        <w:kinsoku/>
        <w:wordWrap/>
        <w:topLinePunct w:val="0"/>
        <w:autoSpaceDE w:val="0"/>
        <w:autoSpaceDN w:val="0"/>
        <w:bidi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1）名称和型号；</w:t>
      </w:r>
    </w:p>
    <w:p>
      <w:pPr>
        <w:pStyle w:val="28"/>
        <w:keepNext w:val="0"/>
        <w:keepLines w:val="0"/>
        <w:pageBreakBefore w:val="0"/>
        <w:kinsoku/>
        <w:wordWrap/>
        <w:topLinePunct w:val="0"/>
        <w:autoSpaceDE w:val="0"/>
        <w:autoSpaceDN w:val="0"/>
        <w:bidi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2）燃气种类或代号；</w:t>
      </w:r>
    </w:p>
    <w:p>
      <w:pPr>
        <w:pStyle w:val="28"/>
        <w:keepNext w:val="0"/>
        <w:keepLines w:val="0"/>
        <w:pageBreakBefore w:val="0"/>
        <w:kinsoku/>
        <w:wordWrap/>
        <w:topLinePunct w:val="0"/>
        <w:autoSpaceDE w:val="0"/>
        <w:autoSpaceDN w:val="0"/>
        <w:bidi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3）额定燃气压力，单位为帕（Pa）；</w:t>
      </w:r>
    </w:p>
    <w:p>
      <w:pPr>
        <w:pStyle w:val="28"/>
        <w:keepNext w:val="0"/>
        <w:keepLines w:val="0"/>
        <w:pageBreakBefore w:val="0"/>
        <w:kinsoku/>
        <w:wordWrap/>
        <w:topLinePunct w:val="0"/>
        <w:autoSpaceDE w:val="0"/>
        <w:autoSpaceDN w:val="0"/>
        <w:bidi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4）额定热负荷（适用于供热水热水器），单位为千瓦（kW）；</w:t>
      </w:r>
    </w:p>
    <w:p>
      <w:pPr>
        <w:pStyle w:val="28"/>
        <w:keepNext w:val="0"/>
        <w:keepLines w:val="0"/>
        <w:pageBreakBefore w:val="0"/>
        <w:kinsoku/>
        <w:wordWrap/>
        <w:topLinePunct w:val="0"/>
        <w:autoSpaceDE w:val="0"/>
        <w:autoSpaceDN w:val="0"/>
        <w:bidi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5）额定热输入</w:t>
      </w:r>
      <w:r>
        <w:rPr>
          <w:rFonts w:hint="eastAsia" w:ascii="仿宋_GB2312" w:hAnsi="仿宋_GB2312" w:eastAsia="仿宋_GB2312" w:cs="仿宋_GB2312"/>
          <w:color w:val="000000"/>
          <w:spacing w:val="4"/>
          <w:sz w:val="32"/>
          <w:szCs w:val="32"/>
        </w:rPr>
        <w:t>（</w:t>
      </w:r>
      <w:r>
        <w:rPr>
          <w:rFonts w:hint="eastAsia" w:ascii="仿宋_GB2312" w:hAnsi="仿宋_GB2312" w:eastAsia="仿宋_GB2312" w:cs="仿宋_GB2312"/>
          <w:color w:val="000000"/>
          <w:sz w:val="32"/>
          <w:szCs w:val="32"/>
        </w:rPr>
        <w:t>适用于供暖热水器、两用热水器），单位为千瓦（kW）；</w:t>
      </w:r>
    </w:p>
    <w:p>
      <w:pPr>
        <w:pStyle w:val="28"/>
        <w:keepNext w:val="0"/>
        <w:keepLines w:val="0"/>
        <w:pageBreakBefore w:val="0"/>
        <w:kinsoku/>
        <w:wordWrap/>
        <w:topLinePunct w:val="0"/>
        <w:autoSpaceDE w:val="0"/>
        <w:autoSpaceDN w:val="0"/>
        <w:bidi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6）适用水压，单位为兆帕（MPa）；</w:t>
      </w:r>
    </w:p>
    <w:p>
      <w:pPr>
        <w:pStyle w:val="28"/>
        <w:keepNext w:val="0"/>
        <w:keepLines w:val="0"/>
        <w:pageBreakBefore w:val="0"/>
        <w:kinsoku/>
        <w:wordWrap/>
        <w:topLinePunct w:val="0"/>
        <w:autoSpaceDE w:val="0"/>
        <w:autoSpaceDN w:val="0"/>
        <w:bidi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7）供暖适用水压（</w:t>
      </w:r>
      <w:r>
        <w:rPr>
          <w:rFonts w:hint="eastAsia" w:ascii="仿宋_GB2312" w:hAnsi="仿宋_GB2312" w:eastAsia="仿宋_GB2312" w:cs="仿宋_GB2312"/>
          <w:color w:val="000000"/>
          <w:spacing w:val="-8"/>
          <w:sz w:val="32"/>
          <w:szCs w:val="32"/>
        </w:rPr>
        <w:t>适用于供暖热水器、两用热水器</w:t>
      </w:r>
      <w:r>
        <w:rPr>
          <w:rFonts w:hint="eastAsia" w:ascii="仿宋_GB2312" w:hAnsi="仿宋_GB2312" w:eastAsia="仿宋_GB2312" w:cs="仿宋_GB2312"/>
          <w:color w:val="000000"/>
          <w:spacing w:val="-24"/>
          <w:sz w:val="32"/>
          <w:szCs w:val="32"/>
        </w:rPr>
        <w:t>）</w:t>
      </w:r>
      <w:r>
        <w:rPr>
          <w:rFonts w:hint="eastAsia" w:ascii="仿宋_GB2312" w:hAnsi="仿宋_GB2312" w:eastAsia="仿宋_GB2312" w:cs="仿宋_GB2312"/>
          <w:color w:val="000000"/>
          <w:spacing w:val="-5"/>
          <w:sz w:val="32"/>
          <w:szCs w:val="32"/>
        </w:rPr>
        <w:t>，单位为兆帕（MPa）；</w:t>
      </w:r>
    </w:p>
    <w:p>
      <w:pPr>
        <w:pStyle w:val="28"/>
        <w:keepNext w:val="0"/>
        <w:keepLines w:val="0"/>
        <w:pageBreakBefore w:val="0"/>
        <w:kinsoku/>
        <w:wordWrap/>
        <w:topLinePunct w:val="0"/>
        <w:autoSpaceDE w:val="0"/>
        <w:autoSpaceDN w:val="0"/>
        <w:bidi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8）额定产热水能力，单位为千克每分（kg/min）；</w:t>
      </w:r>
    </w:p>
    <w:p>
      <w:pPr>
        <w:pStyle w:val="28"/>
        <w:keepNext w:val="0"/>
        <w:keepLines w:val="0"/>
        <w:pageBreakBefore w:val="0"/>
        <w:kinsoku/>
        <w:wordWrap/>
        <w:topLinePunct w:val="0"/>
        <w:autoSpaceDE w:val="0"/>
        <w:autoSpaceDN w:val="0"/>
        <w:bidi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9）额定电压及电源性质的符号（适用于使用交流电源的热水器），单位为伏（V）；</w:t>
      </w:r>
    </w:p>
    <w:p>
      <w:pPr>
        <w:pStyle w:val="28"/>
        <w:keepNext w:val="0"/>
        <w:keepLines w:val="0"/>
        <w:pageBreakBefore w:val="0"/>
        <w:kinsoku/>
        <w:wordWrap/>
        <w:topLinePunct w:val="0"/>
        <w:autoSpaceDE w:val="0"/>
        <w:autoSpaceDN w:val="0"/>
        <w:bidi w:val="0"/>
        <w:spacing w:line="560" w:lineRule="exact"/>
        <w:ind w:firstLine="66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pacing w:val="5"/>
          <w:sz w:val="32"/>
          <w:szCs w:val="32"/>
        </w:rPr>
        <w:t>10）额定电功率或额定电流</w:t>
      </w:r>
      <w:r>
        <w:rPr>
          <w:rFonts w:hint="eastAsia" w:ascii="仿宋_GB2312" w:hAnsi="仿宋_GB2312" w:eastAsia="仿宋_GB2312" w:cs="仿宋_GB2312"/>
          <w:color w:val="000000"/>
          <w:spacing w:val="6"/>
          <w:sz w:val="32"/>
          <w:szCs w:val="32"/>
        </w:rPr>
        <w:t>（</w:t>
      </w:r>
      <w:r>
        <w:rPr>
          <w:rFonts w:hint="eastAsia" w:ascii="仿宋_GB2312" w:hAnsi="仿宋_GB2312" w:eastAsia="仿宋_GB2312" w:cs="仿宋_GB2312"/>
          <w:color w:val="000000"/>
          <w:spacing w:val="5"/>
          <w:sz w:val="32"/>
          <w:szCs w:val="32"/>
        </w:rPr>
        <w:t>适用于使用交流电源的热水器</w:t>
      </w:r>
      <w:r>
        <w:rPr>
          <w:rFonts w:hint="eastAsia" w:ascii="仿宋_GB2312" w:hAnsi="仿宋_GB2312" w:eastAsia="仿宋_GB2312" w:cs="仿宋_GB2312"/>
          <w:color w:val="000000"/>
          <w:spacing w:val="2"/>
          <w:sz w:val="32"/>
          <w:szCs w:val="32"/>
        </w:rPr>
        <w:t>），</w:t>
      </w:r>
      <w:r>
        <w:rPr>
          <w:rFonts w:hint="eastAsia" w:ascii="仿宋_GB2312" w:hAnsi="仿宋_GB2312" w:eastAsia="仿宋_GB2312" w:cs="仿宋_GB2312"/>
          <w:color w:val="000000"/>
          <w:sz w:val="32"/>
          <w:szCs w:val="32"/>
        </w:rPr>
        <w:t>单位为瓦（W）或安（A）；</w:t>
      </w:r>
    </w:p>
    <w:p>
      <w:pPr>
        <w:keepNext w:val="0"/>
        <w:keepLines w:val="0"/>
        <w:pageBreakBefore w:val="0"/>
        <w:kinsoku/>
        <w:wordWrap/>
        <w:topLinePunct w:val="0"/>
        <w:bidi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11）制造商名称。</w:t>
      </w:r>
    </w:p>
    <w:p>
      <w:pPr>
        <w:keepNext w:val="0"/>
        <w:keepLines w:val="0"/>
        <w:pageBreakBefore w:val="0"/>
        <w:kinsoku/>
        <w:wordWrap/>
        <w:topLinePunct w:val="0"/>
        <w:bidi w:val="0"/>
        <w:spacing w:line="560" w:lineRule="exact"/>
        <w:ind w:firstLine="643"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3</w:t>
      </w:r>
      <w:r>
        <w:rPr>
          <w:rFonts w:hint="eastAsia" w:ascii="仿宋_GB2312" w:hAnsi="仿宋_GB2312" w:eastAsia="仿宋_GB2312" w:cs="仿宋_GB2312"/>
          <w:b/>
          <w:bCs/>
          <w:color w:val="000000"/>
          <w:sz w:val="32"/>
          <w:szCs w:val="32"/>
          <w:lang w:val="en-US" w:eastAsia="zh-CN"/>
        </w:rPr>
        <w:t>.</w:t>
      </w:r>
      <w:r>
        <w:rPr>
          <w:rFonts w:hint="eastAsia" w:ascii="仿宋_GB2312" w:hAnsi="仿宋_GB2312" w:eastAsia="仿宋_GB2312" w:cs="仿宋_GB2312"/>
          <w:b/>
          <w:bCs/>
          <w:color w:val="000000"/>
          <w:sz w:val="32"/>
          <w:szCs w:val="32"/>
        </w:rPr>
        <w:t>每台热水器均应在适当的位置设有安全注意事项，注意事项内容包括：</w:t>
      </w:r>
    </w:p>
    <w:p>
      <w:pPr>
        <w:pStyle w:val="28"/>
        <w:keepNext w:val="0"/>
        <w:keepLines w:val="0"/>
        <w:pageBreakBefore w:val="0"/>
        <w:kinsoku/>
        <w:wordWrap/>
        <w:topLinePunct w:val="0"/>
        <w:autoSpaceDE w:val="0"/>
        <w:autoSpaceDN w:val="0"/>
        <w:bidi w:val="0"/>
        <w:spacing w:line="560" w:lineRule="exact"/>
        <w:ind w:firstLine="624"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pacing w:val="-4"/>
          <w:sz w:val="32"/>
          <w:szCs w:val="32"/>
        </w:rPr>
        <w:t>1）不得使用规定外其他燃气的警示</w:t>
      </w:r>
      <w:r>
        <w:rPr>
          <w:rFonts w:hint="eastAsia" w:ascii="仿宋_GB2312" w:hAnsi="仿宋_GB2312" w:eastAsia="仿宋_GB2312" w:cs="仿宋_GB2312"/>
          <w:color w:val="000000"/>
          <w:sz w:val="32"/>
          <w:szCs w:val="32"/>
        </w:rPr>
        <w:t>（标准规定为强制性项目</w:t>
      </w:r>
      <w:r>
        <w:rPr>
          <w:rFonts w:hint="eastAsia" w:ascii="仿宋_GB2312" w:hAnsi="仿宋_GB2312" w:eastAsia="仿宋_GB2312" w:cs="仿宋_GB2312"/>
          <w:color w:val="000000"/>
          <w:spacing w:val="-23"/>
          <w:sz w:val="32"/>
          <w:szCs w:val="32"/>
        </w:rPr>
        <w:t>）；</w:t>
      </w:r>
    </w:p>
    <w:p>
      <w:pPr>
        <w:pStyle w:val="28"/>
        <w:keepNext w:val="0"/>
        <w:keepLines w:val="0"/>
        <w:pageBreakBefore w:val="0"/>
        <w:kinsoku/>
        <w:wordWrap/>
        <w:topLinePunct w:val="0"/>
        <w:autoSpaceDE w:val="0"/>
        <w:autoSpaceDN w:val="0"/>
        <w:bidi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2）通风换气的注意事项（标准规定为强制性项目）；</w:t>
      </w:r>
    </w:p>
    <w:p>
      <w:pPr>
        <w:pStyle w:val="28"/>
        <w:keepNext w:val="0"/>
        <w:keepLines w:val="0"/>
        <w:pageBreakBefore w:val="0"/>
        <w:kinsoku/>
        <w:wordWrap/>
        <w:topLinePunct w:val="0"/>
        <w:autoSpaceDE w:val="0"/>
        <w:autoSpaceDN w:val="0"/>
        <w:bidi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3）使用交流电源的热水器应有接地的要求（</w:t>
      </w:r>
      <w:r>
        <w:rPr>
          <w:rFonts w:hint="eastAsia" w:ascii="仿宋_GB2312" w:hAnsi="仿宋_GB2312" w:eastAsia="仿宋_GB2312" w:cs="仿宋_GB2312"/>
          <w:color w:val="000000"/>
          <w:spacing w:val="-18"/>
          <w:sz w:val="32"/>
          <w:szCs w:val="32"/>
        </w:rPr>
        <w:t>采用Ⅱ类、Ⅲ类控制器的热水器除外）（标准规定为强制性项目）；</w:t>
      </w:r>
    </w:p>
    <w:p>
      <w:pPr>
        <w:pStyle w:val="28"/>
        <w:keepNext w:val="0"/>
        <w:keepLines w:val="0"/>
        <w:pageBreakBefore w:val="0"/>
        <w:kinsoku/>
        <w:wordWrap/>
        <w:topLinePunct w:val="0"/>
        <w:autoSpaceDE w:val="0"/>
        <w:autoSpaceDN w:val="0"/>
        <w:bidi w:val="0"/>
        <w:spacing w:line="560" w:lineRule="exact"/>
        <w:ind w:left="0" w:leftChars="0"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4）用户使用前应详细阅读使用说明；</w:t>
      </w:r>
    </w:p>
    <w:p>
      <w:pPr>
        <w:pStyle w:val="28"/>
        <w:keepNext w:val="0"/>
        <w:keepLines w:val="0"/>
        <w:pageBreakBefore w:val="0"/>
        <w:kinsoku/>
        <w:wordWrap/>
        <w:topLinePunct w:val="0"/>
        <w:autoSpaceDE w:val="0"/>
        <w:autoSpaceDN w:val="0"/>
        <w:bidi w:val="0"/>
        <w:spacing w:line="560" w:lineRule="exact"/>
        <w:ind w:left="0" w:leftChars="0" w:firstLine="596"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pacing w:val="-11"/>
          <w:sz w:val="32"/>
          <w:szCs w:val="32"/>
        </w:rPr>
        <w:t>5）指出防冻功能工作的条件，提示用户为了避免管路冻坏</w:t>
      </w:r>
      <w:r>
        <w:rPr>
          <w:rFonts w:hint="eastAsia" w:ascii="仿宋_GB2312" w:hAnsi="仿宋_GB2312" w:eastAsia="仿宋_GB2312" w:cs="仿宋_GB2312"/>
          <w:color w:val="000000"/>
          <w:sz w:val="32"/>
          <w:szCs w:val="32"/>
        </w:rPr>
        <w:t>，在冬季长期停机时，应将水路系统内的水排空。</w:t>
      </w:r>
    </w:p>
    <w:p>
      <w:pPr>
        <w:bidi w:val="0"/>
        <w:rPr>
          <w:rFonts w:hint="eastAsia" w:ascii="仿宋_GB2312" w:hAnsi="仿宋_GB2312" w:eastAsia="仿宋_GB2312" w:cs="仿宋_GB2312"/>
          <w:sz w:val="32"/>
          <w:szCs w:val="32"/>
        </w:rPr>
      </w:pPr>
      <w:r>
        <w:rPr>
          <w:rFonts w:hint="eastAsia" w:ascii="仿宋_GB2312" w:hAnsi="仿宋_GB2312" w:eastAsia="仿宋_GB2312" w:cs="仿宋_GB2312"/>
        </w:rPr>
        <w:drawing>
          <wp:inline distT="0" distB="0" distL="114300" distR="114300">
            <wp:extent cx="5534025" cy="2428875"/>
            <wp:effectExtent l="0" t="0" r="9525" b="9525"/>
            <wp:docPr id="8" name="图片 4" descr="wp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wps8"/>
                    <pic:cNvPicPr>
                      <a:picLocks noChangeAspect="1"/>
                    </pic:cNvPicPr>
                  </pic:nvPicPr>
                  <pic:blipFill>
                    <a:blip r:embed="rId12"/>
                    <a:stretch>
                      <a:fillRect/>
                    </a:stretch>
                  </pic:blipFill>
                  <pic:spPr>
                    <a:xfrm>
                      <a:off x="0" y="0"/>
                      <a:ext cx="5534025" cy="2428875"/>
                    </a:xfrm>
                    <a:prstGeom prst="rect">
                      <a:avLst/>
                    </a:prstGeom>
                    <a:noFill/>
                    <a:ln>
                      <a:noFill/>
                    </a:ln>
                  </pic:spPr>
                </pic:pic>
              </a:graphicData>
            </a:graphic>
          </wp:inline>
        </w:drawing>
      </w:r>
    </w:p>
    <w:p>
      <w:pPr>
        <w:keepNext w:val="0"/>
        <w:keepLines w:val="0"/>
        <w:pageBreakBefore w:val="0"/>
        <w:kinsoku/>
        <w:wordWrap/>
        <w:topLinePunct w:val="0"/>
        <w:bidi w:val="0"/>
        <w:spacing w:line="560" w:lineRule="exact"/>
        <w:ind w:firstLine="643" w:firstLineChars="200"/>
        <w:textAlignment w:val="auto"/>
        <w:rPr>
          <w:rFonts w:hint="eastAsia" w:ascii="仿宋_GB2312" w:hAnsi="仿宋_GB2312" w:eastAsia="仿宋_GB2312" w:cs="仿宋_GB2312"/>
          <w:color w:val="000000"/>
          <w:spacing w:val="-11"/>
          <w:sz w:val="32"/>
          <w:szCs w:val="32"/>
        </w:rPr>
      </w:pPr>
      <w:r>
        <w:rPr>
          <w:rFonts w:hint="eastAsia" w:ascii="仿宋_GB2312" w:hAnsi="仿宋_GB2312" w:eastAsia="仿宋_GB2312" w:cs="仿宋_GB2312"/>
          <w:b/>
          <w:bCs/>
          <w:color w:val="000000"/>
          <w:sz w:val="32"/>
          <w:szCs w:val="32"/>
        </w:rPr>
        <w:t>4</w:t>
      </w:r>
      <w:r>
        <w:rPr>
          <w:rFonts w:hint="eastAsia" w:ascii="仿宋_GB2312" w:hAnsi="仿宋_GB2312" w:eastAsia="仿宋_GB2312" w:cs="仿宋_GB2312"/>
          <w:b/>
          <w:bCs/>
          <w:color w:val="000000"/>
          <w:sz w:val="32"/>
          <w:szCs w:val="32"/>
          <w:lang w:val="en-US" w:eastAsia="zh-CN"/>
        </w:rPr>
        <w:t>.</w:t>
      </w:r>
      <w:r>
        <w:rPr>
          <w:rFonts w:hint="eastAsia" w:ascii="仿宋_GB2312" w:hAnsi="仿宋_GB2312" w:eastAsia="仿宋_GB2312" w:cs="仿宋_GB2312"/>
          <w:b/>
          <w:bCs/>
          <w:color w:val="000000"/>
          <w:sz w:val="32"/>
          <w:szCs w:val="32"/>
        </w:rPr>
        <w:t>不得销售使用铝制波纹管作为排烟管的自然排气式（烟道式）燃气热水器，或销售排烟管中缺少室内直管、弯头、过墙管、排水三通、室外直管、防倒风排烟罩等配件的自然排气式燃气热水器。</w:t>
      </w:r>
    </w:p>
    <w:p>
      <w:pPr>
        <w:keepNext w:val="0"/>
        <w:keepLines w:val="0"/>
        <w:pageBreakBefore w:val="0"/>
        <w:kinsoku/>
        <w:wordWrap/>
        <w:topLinePunct w:val="0"/>
        <w:bidi w:val="0"/>
        <w:spacing w:line="560" w:lineRule="exact"/>
        <w:ind w:firstLine="643" w:firstLineChars="200"/>
        <w:textAlignment w:val="auto"/>
        <w:rPr>
          <w:rFonts w:hint="eastAsia" w:ascii="楷体_GB2312" w:hAnsi="楷体_GB2312" w:eastAsia="楷体_GB2312" w:cs="楷体_GB2312"/>
          <w:b/>
          <w:bCs/>
          <w:color w:val="000000"/>
          <w:sz w:val="32"/>
          <w:szCs w:val="32"/>
        </w:rPr>
      </w:pPr>
      <w:r>
        <w:rPr>
          <w:rFonts w:hint="eastAsia" w:ascii="楷体_GB2312" w:hAnsi="楷体_GB2312" w:eastAsia="楷体_GB2312" w:cs="楷体_GB2312"/>
          <w:b/>
          <w:bCs/>
          <w:color w:val="000000"/>
          <w:sz w:val="32"/>
          <w:szCs w:val="32"/>
        </w:rPr>
        <w:t>（六）燃气采暖炉</w:t>
      </w:r>
    </w:p>
    <w:p>
      <w:pPr>
        <w:keepNext w:val="0"/>
        <w:keepLines w:val="0"/>
        <w:pageBreakBefore w:val="0"/>
        <w:kinsoku/>
        <w:wordWrap/>
        <w:topLinePunct w:val="0"/>
        <w:bidi w:val="0"/>
        <w:spacing w:line="560" w:lineRule="exact"/>
        <w:ind w:firstLine="643" w:firstLineChars="200"/>
        <w:textAlignment w:val="auto"/>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1</w:t>
      </w:r>
      <w:r>
        <w:rPr>
          <w:rFonts w:hint="eastAsia" w:ascii="仿宋_GB2312" w:hAnsi="仿宋_GB2312" w:eastAsia="仿宋_GB2312" w:cs="仿宋_GB2312"/>
          <w:b/>
          <w:bCs/>
          <w:color w:val="000000"/>
          <w:sz w:val="32"/>
          <w:szCs w:val="32"/>
          <w:lang w:val="en-US" w:eastAsia="zh-CN"/>
        </w:rPr>
        <w:t>.</w:t>
      </w:r>
      <w:r>
        <w:rPr>
          <w:rFonts w:hint="eastAsia" w:ascii="仿宋_GB2312" w:hAnsi="仿宋_GB2312" w:eastAsia="仿宋_GB2312" w:cs="仿宋_GB2312"/>
          <w:b/>
          <w:bCs/>
          <w:color w:val="000000"/>
          <w:sz w:val="32"/>
          <w:szCs w:val="32"/>
        </w:rPr>
        <w:t>燃气采暖炉应有CCC标志和能效标识；</w:t>
      </w:r>
    </w:p>
    <w:p>
      <w:pPr>
        <w:keepNext w:val="0"/>
        <w:keepLines w:val="0"/>
        <w:pageBreakBefore w:val="0"/>
        <w:kinsoku/>
        <w:wordWrap/>
        <w:topLinePunct w:val="0"/>
        <w:bidi w:val="0"/>
        <w:spacing w:line="560" w:lineRule="exact"/>
        <w:ind w:firstLine="643" w:firstLineChars="200"/>
        <w:textAlignment w:val="auto"/>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2</w:t>
      </w:r>
      <w:r>
        <w:rPr>
          <w:rFonts w:hint="eastAsia" w:ascii="仿宋_GB2312" w:hAnsi="仿宋_GB2312" w:eastAsia="仿宋_GB2312" w:cs="仿宋_GB2312"/>
          <w:b/>
          <w:bCs/>
          <w:color w:val="000000"/>
          <w:sz w:val="32"/>
          <w:szCs w:val="32"/>
          <w:lang w:val="en-US" w:eastAsia="zh-CN"/>
        </w:rPr>
        <w:t>.</w:t>
      </w:r>
      <w:r>
        <w:rPr>
          <w:rFonts w:hint="eastAsia" w:ascii="仿宋_GB2312" w:hAnsi="仿宋_GB2312" w:eastAsia="仿宋_GB2312" w:cs="仿宋_GB2312"/>
          <w:b/>
          <w:bCs/>
          <w:color w:val="000000"/>
          <w:sz w:val="32"/>
          <w:szCs w:val="32"/>
        </w:rPr>
        <w:t>每台器具应有铭牌，铭牌应粘贴在器具醒目的位置上，内容应包括：</w:t>
      </w:r>
    </w:p>
    <w:p>
      <w:pPr>
        <w:pStyle w:val="28"/>
        <w:keepNext w:val="0"/>
        <w:keepLines w:val="0"/>
        <w:pageBreakBefore w:val="0"/>
        <w:kinsoku/>
        <w:wordWrap/>
        <w:topLinePunct w:val="0"/>
        <w:autoSpaceDE w:val="0"/>
        <w:autoSpaceDN w:val="0"/>
        <w:bidi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1）制造商名称；</w:t>
      </w:r>
    </w:p>
    <w:p>
      <w:pPr>
        <w:pStyle w:val="28"/>
        <w:keepNext w:val="0"/>
        <w:keepLines w:val="0"/>
        <w:pageBreakBefore w:val="0"/>
        <w:kinsoku/>
        <w:wordWrap/>
        <w:topLinePunct w:val="0"/>
        <w:autoSpaceDE w:val="0"/>
        <w:autoSpaceDN w:val="0"/>
        <w:bidi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2）器具生产编号或日期；</w:t>
      </w:r>
    </w:p>
    <w:p>
      <w:pPr>
        <w:pStyle w:val="28"/>
        <w:keepNext w:val="0"/>
        <w:keepLines w:val="0"/>
        <w:pageBreakBefore w:val="0"/>
        <w:kinsoku/>
        <w:wordWrap/>
        <w:topLinePunct w:val="0"/>
        <w:autoSpaceDE w:val="0"/>
        <w:autoSpaceDN w:val="0"/>
        <w:bidi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3）名称和型号；</w:t>
      </w:r>
    </w:p>
    <w:p>
      <w:pPr>
        <w:pStyle w:val="28"/>
        <w:keepNext w:val="0"/>
        <w:keepLines w:val="0"/>
        <w:pageBreakBefore w:val="0"/>
        <w:kinsoku/>
        <w:wordWrap/>
        <w:topLinePunct w:val="0"/>
        <w:autoSpaceDE w:val="0"/>
        <w:autoSpaceDN w:val="0"/>
        <w:bidi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4）燃气种类及额定压力，单位为帕（Pa）；</w:t>
      </w:r>
    </w:p>
    <w:p>
      <w:pPr>
        <w:pStyle w:val="28"/>
        <w:keepNext w:val="0"/>
        <w:keepLines w:val="0"/>
        <w:pageBreakBefore w:val="0"/>
        <w:kinsoku/>
        <w:wordWrap/>
        <w:topLinePunct w:val="0"/>
        <w:autoSpaceDE w:val="0"/>
        <w:autoSpaceDN w:val="0"/>
        <w:bidi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5）额定热输入；</w:t>
      </w:r>
    </w:p>
    <w:p>
      <w:pPr>
        <w:pStyle w:val="28"/>
        <w:keepNext w:val="0"/>
        <w:keepLines w:val="0"/>
        <w:pageBreakBefore w:val="0"/>
        <w:kinsoku/>
        <w:wordWrap/>
        <w:topLinePunct w:val="0"/>
        <w:autoSpaceDE w:val="0"/>
        <w:autoSpaceDN w:val="0"/>
        <w:bidi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6）额定热输出，单位为千瓦（kW）；</w:t>
      </w:r>
    </w:p>
    <w:p>
      <w:pPr>
        <w:pStyle w:val="28"/>
        <w:keepNext w:val="0"/>
        <w:keepLines w:val="0"/>
        <w:pageBreakBefore w:val="0"/>
        <w:kinsoku/>
        <w:wordWrap/>
        <w:topLinePunct w:val="0"/>
        <w:autoSpaceDE w:val="0"/>
        <w:autoSpaceDN w:val="0"/>
        <w:bidi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7）标称产热水率，单位为千克每分（kg/min）；</w:t>
      </w:r>
    </w:p>
    <w:p>
      <w:pPr>
        <w:pStyle w:val="28"/>
        <w:keepNext w:val="0"/>
        <w:keepLines w:val="0"/>
        <w:pageBreakBefore w:val="0"/>
        <w:kinsoku/>
        <w:wordWrap/>
        <w:topLinePunct w:val="0"/>
        <w:autoSpaceDE w:val="0"/>
        <w:autoSpaceDN w:val="0"/>
        <w:bidi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8）器具采暖系统耐水压等级或最高工作水压；</w:t>
      </w:r>
    </w:p>
    <w:p>
      <w:pPr>
        <w:pStyle w:val="28"/>
        <w:keepNext w:val="0"/>
        <w:keepLines w:val="0"/>
        <w:pageBreakBefore w:val="0"/>
        <w:kinsoku/>
        <w:wordWrap/>
        <w:topLinePunct w:val="0"/>
        <w:autoSpaceDE w:val="0"/>
        <w:autoSpaceDN w:val="0"/>
        <w:bidi w:val="0"/>
        <w:spacing w:line="560" w:lineRule="exact"/>
        <w:ind w:firstLine="66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pacing w:val="5"/>
          <w:sz w:val="32"/>
          <w:szCs w:val="32"/>
        </w:rPr>
        <w:t>9）生活热水系统适用水压</w:t>
      </w:r>
      <w:r>
        <w:rPr>
          <w:rFonts w:hint="eastAsia" w:ascii="仿宋_GB2312" w:hAnsi="仿宋_GB2312" w:eastAsia="仿宋_GB2312" w:cs="仿宋_GB2312"/>
          <w:color w:val="000000"/>
          <w:sz w:val="32"/>
          <w:szCs w:val="32"/>
        </w:rPr>
        <w:t>；</w:t>
      </w:r>
    </w:p>
    <w:p>
      <w:pPr>
        <w:pStyle w:val="28"/>
        <w:keepNext w:val="0"/>
        <w:keepLines w:val="0"/>
        <w:pageBreakBefore w:val="0"/>
        <w:kinsoku/>
        <w:wordWrap/>
        <w:topLinePunct w:val="0"/>
        <w:bidi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10）器具防护等级；</w:t>
      </w:r>
    </w:p>
    <w:p>
      <w:pPr>
        <w:pStyle w:val="28"/>
        <w:keepNext w:val="0"/>
        <w:keepLines w:val="0"/>
        <w:pageBreakBefore w:val="0"/>
        <w:kinsoku/>
        <w:wordWrap/>
        <w:topLinePunct w:val="0"/>
        <w:bidi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11）电源性质；</w:t>
      </w:r>
    </w:p>
    <w:p>
      <w:pPr>
        <w:pStyle w:val="28"/>
        <w:keepNext w:val="0"/>
        <w:keepLines w:val="0"/>
        <w:pageBreakBefore w:val="0"/>
        <w:kinsoku/>
        <w:wordWrap/>
        <w:topLinePunct w:val="0"/>
        <w:bidi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12）防水等级的IP代码；</w:t>
      </w:r>
    </w:p>
    <w:p>
      <w:pPr>
        <w:pStyle w:val="28"/>
        <w:keepNext w:val="0"/>
        <w:keepLines w:val="0"/>
        <w:pageBreakBefore w:val="0"/>
        <w:kinsoku/>
        <w:wordWrap/>
        <w:topLinePunct w:val="0"/>
        <w:bidi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13）生活热水模式的额定热输入。</w:t>
      </w:r>
    </w:p>
    <w:p>
      <w:pPr>
        <w:keepNext w:val="0"/>
        <w:keepLines w:val="0"/>
        <w:pageBreakBefore w:val="0"/>
        <w:kinsoku/>
        <w:wordWrap/>
        <w:topLinePunct w:val="0"/>
        <w:bidi w:val="0"/>
        <w:spacing w:line="560" w:lineRule="exact"/>
        <w:ind w:firstLine="643" w:firstLineChars="200"/>
        <w:textAlignment w:val="auto"/>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3</w:t>
      </w:r>
      <w:r>
        <w:rPr>
          <w:rFonts w:hint="eastAsia" w:ascii="仿宋_GB2312" w:hAnsi="仿宋_GB2312" w:eastAsia="仿宋_GB2312" w:cs="仿宋_GB2312"/>
          <w:b/>
          <w:bCs/>
          <w:color w:val="000000"/>
          <w:sz w:val="32"/>
          <w:szCs w:val="32"/>
          <w:lang w:val="en-US" w:eastAsia="zh-CN"/>
        </w:rPr>
        <w:t>.</w:t>
      </w:r>
      <w:r>
        <w:rPr>
          <w:rFonts w:hint="eastAsia" w:ascii="仿宋_GB2312" w:hAnsi="仿宋_GB2312" w:eastAsia="仿宋_GB2312" w:cs="仿宋_GB2312"/>
          <w:b/>
          <w:bCs/>
          <w:color w:val="000000"/>
          <w:sz w:val="32"/>
          <w:szCs w:val="32"/>
        </w:rPr>
        <w:t>器具上应有醒目的专用警示牌，且应牢固、耐用，并包括以下内容：</w:t>
      </w:r>
    </w:p>
    <w:p>
      <w:pPr>
        <w:pStyle w:val="28"/>
        <w:keepNext w:val="0"/>
        <w:keepLines w:val="0"/>
        <w:pageBreakBefore w:val="0"/>
        <w:kinsoku/>
        <w:wordWrap/>
        <w:topLinePunct w:val="0"/>
        <w:autoSpaceDE w:val="0"/>
        <w:autoSpaceDN w:val="0"/>
        <w:bidi w:val="0"/>
        <w:spacing w:line="560" w:lineRule="exact"/>
        <w:ind w:firstLine="624"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pacing w:val="-4"/>
          <w:sz w:val="32"/>
          <w:szCs w:val="32"/>
        </w:rPr>
        <w:t>1）不得使用规定外其他燃气；</w:t>
      </w:r>
    </w:p>
    <w:p>
      <w:pPr>
        <w:pStyle w:val="28"/>
        <w:keepNext w:val="0"/>
        <w:keepLines w:val="0"/>
        <w:pageBreakBefore w:val="0"/>
        <w:kinsoku/>
        <w:wordWrap/>
        <w:topLinePunct w:val="0"/>
        <w:autoSpaceDE w:val="0"/>
        <w:autoSpaceDN w:val="0"/>
        <w:bidi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2）通风要求和安装环境；</w:t>
      </w:r>
    </w:p>
    <w:p>
      <w:pPr>
        <w:pStyle w:val="28"/>
        <w:keepNext w:val="0"/>
        <w:keepLines w:val="0"/>
        <w:pageBreakBefore w:val="0"/>
        <w:kinsoku/>
        <w:wordWrap/>
        <w:topLinePunct w:val="0"/>
        <w:autoSpaceDE w:val="0"/>
        <w:autoSpaceDN w:val="0"/>
        <w:bidi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3）使用交流电源的器具应安全接地；</w:t>
      </w:r>
    </w:p>
    <w:p>
      <w:pPr>
        <w:pStyle w:val="28"/>
        <w:keepNext w:val="0"/>
        <w:keepLines w:val="0"/>
        <w:pageBreakBefore w:val="0"/>
        <w:kinsoku/>
        <w:wordWrap/>
        <w:topLinePunct w:val="0"/>
        <w:autoSpaceDE w:val="0"/>
        <w:autoSpaceDN w:val="0"/>
        <w:bidi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4）安装前应仔细阅读技术说明书；</w:t>
      </w:r>
    </w:p>
    <w:p>
      <w:pPr>
        <w:pStyle w:val="28"/>
        <w:keepNext w:val="0"/>
        <w:keepLines w:val="0"/>
        <w:pageBreakBefore w:val="0"/>
        <w:kinsoku/>
        <w:wordWrap/>
        <w:topLinePunct w:val="0"/>
        <w:autoSpaceDE w:val="0"/>
        <w:autoSpaceDN w:val="0"/>
        <w:bidi w:val="0"/>
        <w:spacing w:line="560" w:lineRule="exact"/>
        <w:ind w:firstLine="640" w:firstLineChars="200"/>
        <w:textAlignment w:val="auto"/>
        <w:rPr>
          <w:rFonts w:hint="eastAsia" w:ascii="方正仿宋_GBK" w:hAnsi="宋体" w:eastAsia="方正仿宋_GBK" w:cs="宋体"/>
          <w:color w:val="000000"/>
          <w:kern w:val="0"/>
          <w:sz w:val="32"/>
          <w:szCs w:val="32"/>
        </w:rPr>
      </w:pPr>
      <w:r>
        <w:rPr>
          <w:rFonts w:hint="eastAsia" w:ascii="仿宋_GB2312" w:hAnsi="仿宋_GB2312" w:eastAsia="仿宋_GB2312" w:cs="仿宋_GB2312"/>
          <w:color w:val="000000"/>
          <w:sz w:val="32"/>
          <w:szCs w:val="32"/>
        </w:rPr>
        <w:t>5）用户使用前应详细阅读使用说明书。</w:t>
      </w:r>
      <w:bookmarkStart w:id="0" w:name="_GoBack"/>
      <w:bookmarkEnd w:id="0"/>
    </w:p>
    <w:sectPr>
      <w:footerReference r:id="rId3" w:type="default"/>
      <w:pgSz w:w="11906" w:h="16838"/>
      <w:pgMar w:top="1985" w:right="1474" w:bottom="1474" w:left="1474" w:header="851" w:footer="1134"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A0270B8-748F-4778-A8D4-76BB0C29627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E33AAC5-C5D6-43B2-A9E5-8D917EC93077}"/>
  </w:font>
  <w:font w:name="??_GB2312">
    <w:altName w:val="Times New Roman"/>
    <w:panose1 w:val="00000000000000000000"/>
    <w:charset w:val="00"/>
    <w:family w:val="auto"/>
    <w:pitch w:val="default"/>
    <w:sig w:usb0="00000003" w:usb1="00000000" w:usb2="00000000" w:usb3="00000000" w:csb0="00000001" w:csb1="00000000"/>
  </w:font>
  <w:font w:name="方正仿宋_GBK">
    <w:altName w:val="微软雅黑"/>
    <w:panose1 w:val="03000509000000000000"/>
    <w:charset w:val="86"/>
    <w:family w:val="script"/>
    <w:pitch w:val="default"/>
    <w:sig w:usb0="00000000" w:usb1="00000000" w:usb2="00000000" w:usb3="00000000" w:csb0="00040001" w:csb1="00000000"/>
    <w:embedRegular r:id="rId3" w:fontKey="{03ED8EAE-6DED-4A4F-A225-A01AD337279E}"/>
  </w:font>
  <w:font w:name="Arial Unicode MS">
    <w:altName w:val="宋体"/>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embedRegular r:id="rId4" w:fontKey="{3BBEBD87-BC57-4E01-9BD7-BF40101DB83E}"/>
  </w:font>
  <w:font w:name="方正小标宋简体">
    <w:panose1 w:val="03000509000000000000"/>
    <w:charset w:val="86"/>
    <w:family w:val="auto"/>
    <w:pitch w:val="default"/>
    <w:sig w:usb0="00000001" w:usb1="080E0000" w:usb2="00000000" w:usb3="00000000" w:csb0="00040000" w:csb1="00000000"/>
    <w:embedRegular r:id="rId5" w:fontKey="{EB4FC0E1-7F07-4568-B04F-6E90C26A7496}"/>
  </w:font>
  <w:font w:name="楷体_GB2312">
    <w:panose1 w:val="02010609030101010101"/>
    <w:charset w:val="86"/>
    <w:family w:val="auto"/>
    <w:pitch w:val="default"/>
    <w:sig w:usb0="00000001" w:usb1="080E0000" w:usb2="00000000" w:usb3="00000000" w:csb0="00040000" w:csb1="00000000"/>
    <w:embedRegular r:id="rId6" w:fontKey="{1346392C-237B-439F-A7B9-805328D07CA5}"/>
  </w:font>
  <w:font w:name="方正小标宋_GBK">
    <w:panose1 w:val="03000502000000000000"/>
    <w:charset w:val="86"/>
    <w:family w:val="script"/>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inside</wp:align>
              </wp:positionH>
              <wp:positionV relativeFrom="paragraph">
                <wp:posOffset>0</wp:posOffset>
              </wp:positionV>
              <wp:extent cx="1828800" cy="1828800"/>
              <wp:effectExtent l="0" t="0" r="0" b="0"/>
              <wp:wrapNone/>
              <wp:docPr id="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7"/>
                          </w:pPr>
                          <w:r>
                            <w:fldChar w:fldCharType="begin"/>
                          </w:r>
                          <w:r>
                            <w:instrText xml:space="preserve"> PAGE  \* MERGEFORMAT </w:instrText>
                          </w:r>
                          <w:r>
                            <w:fldChar w:fldCharType="separate"/>
                          </w:r>
                          <w:r>
                            <w:t>- 19 -</w:t>
                          </w:r>
                          <w:r>
                            <w:fldChar w:fldCharType="end"/>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inside;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aYJL0wAAAAUB&#10;AAAPAAAAAAAAAAEAIAAAACIAAABkcnMvZG93bnJldi54bWxQSwECFAAUAAAACACHTuJAm0Z/K+cB&#10;AADIAwAADgAAAAAAAAABACAAAAAiAQAAZHJzL2Uyb0RvYy54bWxQSwUGAAAAAAYABgBZAQAAewUA&#10;AAAA&#10;">
              <v:fill on="f" focussize="0,0"/>
              <v:stroke on="f" weight="1.25pt"/>
              <v:imagedata o:title=""/>
              <o:lock v:ext="edit" aspectratio="f"/>
              <v:textbox inset="0mm,0mm,0mm,0mm" style="mso-fit-shape-to-text:t;">
                <w:txbxContent>
                  <w:p>
                    <w:pPr>
                      <w:pStyle w:val="7"/>
                    </w:pPr>
                    <w:r>
                      <w:fldChar w:fldCharType="begin"/>
                    </w:r>
                    <w:r>
                      <w:instrText xml:space="preserve"> PAGE  \* MERGEFORMAT </w:instrText>
                    </w:r>
                    <w:r>
                      <w:fldChar w:fldCharType="separate"/>
                    </w:r>
                    <w:r>
                      <w:t>- 19 -</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96"/>
  <w:drawingGridVerticalSpacing w:val="156"/>
  <w:displayHorizontalDrawingGridEvery w:val="0"/>
  <w:displayVerticalDrawingGridEvery w:val="2"/>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1YTAwMDczYjY1N2QwMWRkOTJkMmFmZTU5MzlkOGQifQ=="/>
  </w:docVars>
  <w:rsids>
    <w:rsidRoot w:val="00172A27"/>
    <w:rsid w:val="0051414A"/>
    <w:rsid w:val="015B3856"/>
    <w:rsid w:val="01EC0334"/>
    <w:rsid w:val="020169C2"/>
    <w:rsid w:val="0575791C"/>
    <w:rsid w:val="0BC22851"/>
    <w:rsid w:val="0CE84C1D"/>
    <w:rsid w:val="13607598"/>
    <w:rsid w:val="1D716100"/>
    <w:rsid w:val="1D71757D"/>
    <w:rsid w:val="2BBF4A80"/>
    <w:rsid w:val="2BE72145"/>
    <w:rsid w:val="310F5BAD"/>
    <w:rsid w:val="38656391"/>
    <w:rsid w:val="42940BA3"/>
    <w:rsid w:val="42F95286"/>
    <w:rsid w:val="48697A17"/>
    <w:rsid w:val="5C1A55BE"/>
    <w:rsid w:val="62EB6873"/>
    <w:rsid w:val="65EF3CBD"/>
    <w:rsid w:val="6AD37B7E"/>
    <w:rsid w:val="6E823088"/>
    <w:rsid w:val="7B9F061D"/>
    <w:rsid w:val="7E18646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semiHidden="0" w:name="Normal Indent"/>
    <w:lsdException w:uiPriority="99" w:name="footnote text"/>
    <w:lsdException w:qFormat="1" w:unhideWhenUsed="0" w:uiPriority="0"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2"/>
      <w:lang w:val="en-US" w:eastAsia="zh-CN" w:bidi="ar-SA"/>
    </w:rPr>
  </w:style>
  <w:style w:type="character" w:default="1" w:styleId="11">
    <w:name w:val="Default Paragraph Font"/>
    <w:unhideWhenUsed/>
    <w:uiPriority w:val="1"/>
  </w:style>
  <w:style w:type="table" w:default="1" w:styleId="10">
    <w:name w:val="Normal Table"/>
    <w:unhideWhenUsed/>
    <w:uiPriority w:val="99"/>
    <w:tblPr>
      <w:tblStyle w:val="10"/>
      <w:tblCellMar>
        <w:top w:w="0" w:type="dxa"/>
        <w:left w:w="108" w:type="dxa"/>
        <w:bottom w:w="0" w:type="dxa"/>
        <w:right w:w="108" w:type="dxa"/>
      </w:tblCellMar>
    </w:tblPr>
  </w:style>
  <w:style w:type="paragraph" w:styleId="2">
    <w:name w:val="Normal Indent"/>
    <w:basedOn w:val="1"/>
    <w:uiPriority w:val="0"/>
    <w:pPr>
      <w:ind w:firstLine="420" w:firstLineChars="200"/>
    </w:pPr>
    <w:rPr>
      <w:szCs w:val="24"/>
    </w:rPr>
  </w:style>
  <w:style w:type="paragraph" w:styleId="3">
    <w:name w:val="annotation text"/>
    <w:basedOn w:val="1"/>
    <w:qFormat/>
    <w:uiPriority w:val="0"/>
  </w:style>
  <w:style w:type="paragraph" w:styleId="4">
    <w:name w:val="Body Text"/>
    <w:basedOn w:val="1"/>
    <w:uiPriority w:val="0"/>
    <w:rPr>
      <w:rFonts w:ascii="??_GB2312" w:hAnsi="??_GB2312" w:eastAsia="Times New Roman" w:cs="??_GB2312"/>
      <w:sz w:val="32"/>
      <w:szCs w:val="32"/>
    </w:rPr>
  </w:style>
  <w:style w:type="paragraph" w:styleId="5">
    <w:name w:val="Date"/>
    <w:basedOn w:val="1"/>
    <w:next w:val="1"/>
    <w:uiPriority w:val="0"/>
    <w:pPr>
      <w:ind w:left="100" w:leftChars="2500"/>
    </w:pPr>
  </w:style>
  <w:style w:type="paragraph" w:styleId="6">
    <w:name w:val="Balloon Text"/>
    <w:basedOn w:val="1"/>
    <w:link w:val="14"/>
    <w:unhideWhenUsed/>
    <w:uiPriority w:val="99"/>
    <w:rPr>
      <w:sz w:val="18"/>
      <w:szCs w:val="18"/>
    </w:rPr>
  </w:style>
  <w:style w:type="paragraph" w:styleId="7">
    <w:name w:val="footer"/>
    <w:basedOn w:val="1"/>
    <w:link w:val="15"/>
    <w:unhideWhenUsed/>
    <w:uiPriority w:val="99"/>
    <w:pPr>
      <w:tabs>
        <w:tab w:val="center" w:pos="4153"/>
        <w:tab w:val="right" w:pos="8306"/>
      </w:tabs>
      <w:snapToGrid w:val="0"/>
      <w:jc w:val="left"/>
    </w:pPr>
    <w:rPr>
      <w:sz w:val="18"/>
      <w:szCs w:val="18"/>
    </w:rPr>
  </w:style>
  <w:style w:type="paragraph" w:styleId="8">
    <w:name w:val="header"/>
    <w:basedOn w:val="1"/>
    <w:link w:val="16"/>
    <w:unhideWhenUsed/>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iPriority w:val="0"/>
    <w:pPr>
      <w:spacing w:beforeAutospacing="1" w:afterAutospacing="1"/>
      <w:jc w:val="left"/>
    </w:pPr>
    <w:rPr>
      <w:kern w:val="0"/>
      <w:sz w:val="24"/>
      <w:szCs w:val="24"/>
    </w:rPr>
  </w:style>
  <w:style w:type="character" w:styleId="12">
    <w:name w:val="page number"/>
    <w:basedOn w:val="11"/>
    <w:uiPriority w:val="0"/>
  </w:style>
  <w:style w:type="character" w:styleId="13">
    <w:name w:val="Hyperlink"/>
    <w:basedOn w:val="11"/>
    <w:uiPriority w:val="0"/>
    <w:rPr>
      <w:rFonts w:cs="Times New Roman"/>
      <w:color w:val="0000FF"/>
      <w:u w:val="single"/>
    </w:rPr>
  </w:style>
  <w:style w:type="character" w:customStyle="1" w:styleId="14">
    <w:name w:val="批注框文本 Char Char Char"/>
    <w:link w:val="6"/>
    <w:uiPriority w:val="99"/>
    <w:rPr>
      <w:kern w:val="2"/>
      <w:sz w:val="18"/>
      <w:szCs w:val="18"/>
    </w:rPr>
  </w:style>
  <w:style w:type="character" w:customStyle="1" w:styleId="15">
    <w:name w:val="页脚 Char Char Char"/>
    <w:link w:val="7"/>
    <w:uiPriority w:val="99"/>
    <w:rPr>
      <w:kern w:val="2"/>
      <w:sz w:val="18"/>
      <w:szCs w:val="18"/>
    </w:rPr>
  </w:style>
  <w:style w:type="character" w:customStyle="1" w:styleId="16">
    <w:name w:val="页眉 Char Char Char"/>
    <w:link w:val="8"/>
    <w:uiPriority w:val="99"/>
    <w:rPr>
      <w:kern w:val="2"/>
      <w:sz w:val="18"/>
      <w:szCs w:val="18"/>
    </w:rPr>
  </w:style>
  <w:style w:type="character" w:customStyle="1" w:styleId="17">
    <w:name w:val="font81"/>
    <w:basedOn w:val="11"/>
    <w:uiPriority w:val="0"/>
    <w:rPr>
      <w:rFonts w:ascii="Courier New" w:hAnsi="Courier New" w:cs="Courier New"/>
      <w:color w:val="000000"/>
      <w:sz w:val="20"/>
      <w:szCs w:val="20"/>
      <w:u w:val="none"/>
    </w:rPr>
  </w:style>
  <w:style w:type="character" w:customStyle="1" w:styleId="18">
    <w:name w:val="16"/>
    <w:basedOn w:val="11"/>
    <w:uiPriority w:val="0"/>
    <w:rPr>
      <w:rFonts w:hint="eastAsia" w:ascii="宋体" w:hAnsi="宋体" w:eastAsia="宋体"/>
      <w:b/>
      <w:bCs/>
      <w:color w:val="000000"/>
      <w:sz w:val="22"/>
      <w:szCs w:val="22"/>
    </w:rPr>
  </w:style>
  <w:style w:type="character" w:customStyle="1" w:styleId="19">
    <w:name w:val="font61"/>
    <w:basedOn w:val="11"/>
    <w:uiPriority w:val="0"/>
    <w:rPr>
      <w:rFonts w:ascii="方正仿宋_GBK" w:hAnsi="方正仿宋_GBK" w:eastAsia="方正仿宋_GBK" w:cs="方正仿宋_GBK"/>
      <w:color w:val="000000"/>
      <w:sz w:val="22"/>
      <w:szCs w:val="22"/>
      <w:u w:val="none"/>
    </w:rPr>
  </w:style>
  <w:style w:type="character" w:customStyle="1" w:styleId="20">
    <w:name w:val="NormalCharacter"/>
    <w:uiPriority w:val="0"/>
    <w:rPr>
      <w:kern w:val="2"/>
      <w:sz w:val="21"/>
      <w:szCs w:val="24"/>
      <w:lang w:val="en-US" w:eastAsia="zh-CN" w:bidi="ar-SA"/>
    </w:rPr>
  </w:style>
  <w:style w:type="character" w:customStyle="1" w:styleId="21">
    <w:name w:val="font01"/>
    <w:basedOn w:val="11"/>
    <w:uiPriority w:val="0"/>
    <w:rPr>
      <w:rFonts w:ascii="宋体" w:hAnsi="宋体" w:eastAsia="宋体" w:cs="宋体"/>
      <w:color w:val="FF0000"/>
      <w:sz w:val="24"/>
      <w:szCs w:val="24"/>
      <w:u w:val="none"/>
    </w:rPr>
  </w:style>
  <w:style w:type="character" w:customStyle="1" w:styleId="22">
    <w:name w:val="font12"/>
    <w:basedOn w:val="11"/>
    <w:uiPriority w:val="0"/>
    <w:rPr>
      <w:rFonts w:ascii="宋体" w:hAnsi="宋体" w:eastAsia="宋体" w:cs="宋体"/>
      <w:color w:val="000000"/>
      <w:sz w:val="20"/>
      <w:szCs w:val="20"/>
      <w:u w:val="none"/>
    </w:rPr>
  </w:style>
  <w:style w:type="character" w:customStyle="1" w:styleId="23">
    <w:name w:val="font11"/>
    <w:basedOn w:val="11"/>
    <w:uiPriority w:val="0"/>
    <w:rPr>
      <w:rFonts w:ascii="宋体" w:hAnsi="宋体" w:eastAsia="宋体" w:cs="宋体"/>
      <w:color w:val="000000"/>
      <w:sz w:val="20"/>
      <w:szCs w:val="20"/>
      <w:u w:val="none"/>
    </w:rPr>
  </w:style>
  <w:style w:type="character" w:customStyle="1" w:styleId="24">
    <w:name w:val="15"/>
    <w:basedOn w:val="11"/>
    <w:uiPriority w:val="0"/>
    <w:rPr>
      <w:rFonts w:hint="eastAsia" w:ascii="宋体" w:hAnsi="宋体" w:eastAsia="宋体"/>
      <w:color w:val="000000"/>
      <w:sz w:val="22"/>
      <w:szCs w:val="22"/>
    </w:rPr>
  </w:style>
  <w:style w:type="character" w:customStyle="1" w:styleId="25">
    <w:name w:val="font14"/>
    <w:basedOn w:val="11"/>
    <w:uiPriority w:val="0"/>
    <w:rPr>
      <w:rFonts w:ascii="宋体" w:hAnsi="宋体" w:eastAsia="宋体" w:cs="宋体"/>
      <w:color w:val="000000"/>
      <w:sz w:val="20"/>
      <w:szCs w:val="20"/>
      <w:u w:val="none"/>
    </w:rPr>
  </w:style>
  <w:style w:type="paragraph" w:customStyle="1" w:styleId="26">
    <w:name w:val="正文（缩进）"/>
    <w:basedOn w:val="1"/>
    <w:uiPriority w:val="0"/>
    <w:pPr>
      <w:spacing w:before="156" w:beforeLines="0" w:after="156" w:afterLines="0"/>
    </w:pPr>
    <w:rPr>
      <w:szCs w:val="24"/>
    </w:rPr>
  </w:style>
  <w:style w:type="paragraph" w:customStyle="1" w:styleId="27">
    <w:name w:val="正文 A"/>
    <w:qFormat/>
    <w:uiPriority w:val="0"/>
    <w:pPr>
      <w:widowControl w:val="0"/>
      <w:jc w:val="both"/>
    </w:pPr>
    <w:rPr>
      <w:rFonts w:ascii="Times New Roman" w:hAnsi="Times New Roman" w:eastAsia="Arial Unicode MS"/>
      <w:color w:val="000000"/>
      <w:kern w:val="2"/>
      <w:sz w:val="21"/>
      <w:szCs w:val="21"/>
      <w:lang w:val="en-US" w:bidi="ar-SA"/>
    </w:rPr>
  </w:style>
  <w:style w:type="paragraph" w:customStyle="1" w:styleId="28">
    <w:name w:val="List Paragraph"/>
    <w:basedOn w:val="1"/>
    <w:uiPriority w:val="0"/>
    <w:pPr>
      <w:ind w:firstLine="420" w:firstLineChars="200"/>
    </w:pPr>
    <w:rPr>
      <w:szCs w:val="24"/>
    </w:rPr>
  </w:style>
  <w:style w:type="paragraph" w:customStyle="1" w:styleId="29">
    <w:name w:val="列出段落"/>
    <w:basedOn w:val="1"/>
    <w:qFormat/>
    <w:uiPriority w:val="0"/>
    <w:pPr>
      <w:ind w:firstLine="420" w:firstLineChars="200"/>
    </w:pPr>
  </w:style>
  <w:style w:type="paragraph" w:customStyle="1" w:styleId="30">
    <w:name w:val="_Style 5"/>
    <w:qFormat/>
    <w:uiPriority w:val="0"/>
    <w:pPr>
      <w:widowControl w:val="0"/>
      <w:ind w:firstLine="200" w:firstLineChars="200"/>
      <w:jc w:val="both"/>
    </w:pPr>
    <w:rPr>
      <w:rFonts w:ascii="Times New Roman" w:hAnsi="Times New Roman"/>
      <w:kern w:val="2"/>
      <w:sz w:val="24"/>
      <w:szCs w:val="22"/>
      <w:lang w:val="en-US" w:eastAsia="zh-CN" w:bidi="ar-SA"/>
    </w:rPr>
  </w:style>
  <w:style w:type="paragraph" w:customStyle="1" w:styleId="31">
    <w:name w:val="msolistparagraph"/>
    <w:basedOn w:val="1"/>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Pages>17</Pages>
  <Words>4858</Words>
  <Characters>5097</Characters>
  <Lines>59</Lines>
  <Paragraphs>16</Paragraphs>
  <TotalTime>97</TotalTime>
  <ScaleCrop>false</ScaleCrop>
  <LinksUpToDate>false</LinksUpToDate>
  <CharactersWithSpaces>5420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2022-01-24T08:12:00Z</dcterms:created>
  <dc:creator>Administrator</dc:creator>
  <cp:lastModifiedBy>张志超</cp:lastModifiedBy>
  <cp:lastPrinted>2023-01-18T08:48:35Z</cp:lastPrinted>
  <dcterms:modified xsi:type="dcterms:W3CDTF">2023-03-13T02:53:03Z</dcterms:modified>
  <dc:title>湘市监办发〔2020〕42号</dc:title>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5E0023918491419FAF5985D0D79DFAD7</vt:lpwstr>
  </property>
</Properties>
</file>