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仿宋_GB2312" w:cs="Times New Roman"/>
          <w:sz w:val="22"/>
          <w:szCs w:val="22"/>
          <w:highlight w:val="none"/>
        </w:rPr>
      </w:pPr>
      <w:bookmarkStart w:id="0" w:name="_GoBack"/>
      <w:bookmarkEnd w:id="0"/>
    </w:p>
    <w:p>
      <w:pPr>
        <w:rPr>
          <w:rFonts w:hint="default" w:ascii="Times New Roman" w:hAnsi="Times New Roman" w:eastAsia="仿宋_GB2312" w:cs="Times New Roman"/>
          <w:sz w:val="22"/>
          <w:szCs w:val="22"/>
          <w:highlight w:val="none"/>
        </w:rPr>
      </w:pPr>
    </w:p>
    <w:p>
      <w:pP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w:t>
      </w:r>
    </w:p>
    <w:p>
      <w:pPr>
        <w:jc w:val="center"/>
        <w:rPr>
          <w:rFonts w:hint="default" w:ascii="Times New Roman" w:hAnsi="Times New Roman" w:eastAsia="方正小标宋_GBK" w:cs="Times New Roman"/>
          <w:sz w:val="52"/>
          <w:szCs w:val="52"/>
          <w:highlight w:val="none"/>
        </w:rPr>
      </w:pP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岳阳市林业局</w:t>
      </w:r>
      <w:r>
        <w:rPr>
          <w:rFonts w:hint="eastAsia" w:ascii="方正小标宋简体" w:hAnsi="方正小标宋简体" w:eastAsia="方正小标宋简体" w:cs="方正小标宋简体"/>
          <w:sz w:val="44"/>
          <w:szCs w:val="44"/>
          <w:highlight w:val="none"/>
        </w:rPr>
        <w:t>整体支出</w:t>
      </w:r>
    </w:p>
    <w:p>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pPr>
        <w:jc w:val="center"/>
        <w:rPr>
          <w:rFonts w:hint="default" w:ascii="Times New Roman" w:hAnsi="Times New Roman" w:eastAsia="方正小标宋_GBK" w:cs="Times New Roman"/>
          <w:b/>
          <w:sz w:val="52"/>
          <w:szCs w:val="5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楷体_GB2312" w:cs="Times New Roman"/>
          <w:b/>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pPr>
        <w:spacing w:line="600" w:lineRule="exact"/>
        <w:jc w:val="center"/>
        <w:rPr>
          <w:rFonts w:hint="default" w:ascii="Times New Roman" w:hAnsi="Times New Roman" w:eastAsia="楷体_GB2312" w:cs="Times New Roman"/>
          <w:sz w:val="32"/>
          <w:szCs w:val="32"/>
          <w:highlight w:val="none"/>
        </w:rPr>
      </w:pPr>
      <w:r>
        <w:rPr>
          <w:rFonts w:hint="eastAsia" w:ascii="Times New Roman" w:hAnsi="Times New Roman" w:eastAsia="楷体_GB2312" w:cs="Times New Roman"/>
          <w:sz w:val="32"/>
          <w:szCs w:val="32"/>
          <w:highlight w:val="none"/>
          <w:lang w:val="en-US" w:eastAsia="zh-CN"/>
        </w:rPr>
        <w:t>2025</w:t>
      </w:r>
      <w:r>
        <w:rPr>
          <w:rFonts w:hint="default" w:ascii="Times New Roman" w:hAnsi="Times New Roman" w:eastAsia="楷体_GB2312" w:cs="Times New Roman"/>
          <w:sz w:val="32"/>
          <w:szCs w:val="32"/>
          <w:highlight w:val="none"/>
        </w:rPr>
        <w:t>年</w:t>
      </w:r>
      <w:r>
        <w:rPr>
          <w:rFonts w:hint="eastAsia" w:ascii="Times New Roman" w:hAnsi="Times New Roman" w:eastAsia="楷体_GB2312" w:cs="Times New Roman"/>
          <w:sz w:val="32"/>
          <w:szCs w:val="32"/>
          <w:highlight w:val="none"/>
          <w:lang w:val="en-US" w:eastAsia="zh-CN"/>
        </w:rPr>
        <w:t>6</w:t>
      </w:r>
      <w:r>
        <w:rPr>
          <w:rFonts w:hint="default" w:ascii="Times New Roman" w:hAnsi="Times New Roman" w:eastAsia="楷体_GB2312" w:cs="Times New Roman"/>
          <w:sz w:val="32"/>
          <w:szCs w:val="32"/>
          <w:highlight w:val="none"/>
        </w:rPr>
        <w:t>月</w:t>
      </w:r>
      <w:r>
        <w:rPr>
          <w:rFonts w:hint="eastAsia" w:ascii="Times New Roman" w:hAnsi="Times New Roman" w:eastAsia="楷体_GB2312" w:cs="Times New Roman"/>
          <w:sz w:val="32"/>
          <w:szCs w:val="32"/>
          <w:highlight w:val="none"/>
          <w:lang w:val="en-US" w:eastAsia="zh-CN"/>
        </w:rPr>
        <w:t>30</w:t>
      </w:r>
      <w:r>
        <w:rPr>
          <w:rFonts w:hint="default" w:ascii="Times New Roman" w:hAnsi="Times New Roman" w:eastAsia="楷体_GB2312" w:cs="Times New Roman"/>
          <w:sz w:val="32"/>
          <w:szCs w:val="32"/>
          <w:highlight w:val="none"/>
        </w:rPr>
        <w:t>日</w:t>
      </w:r>
    </w:p>
    <w:p>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pPr>
        <w:jc w:val="center"/>
        <w:rPr>
          <w:rFonts w:hint="eastAsia" w:ascii="方正小标宋简体" w:hAnsi="方正小标宋简体" w:eastAsia="方正小标宋简体" w:cs="方正小标宋简体"/>
          <w:sz w:val="44"/>
          <w:szCs w:val="44"/>
          <w:highlight w:val="none"/>
        </w:rPr>
      </w:pPr>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岳阳市林业局</w:t>
      </w:r>
      <w:r>
        <w:rPr>
          <w:rFonts w:hint="eastAsia" w:ascii="方正小标宋简体" w:hAnsi="方正小标宋简体" w:eastAsia="方正小标宋简体" w:cs="方正小标宋简体"/>
          <w:sz w:val="44"/>
          <w:szCs w:val="44"/>
          <w:highlight w:val="none"/>
        </w:rPr>
        <w:t>整体支出</w:t>
      </w:r>
    </w:p>
    <w:p>
      <w:pPr>
        <w:jc w:val="center"/>
        <w:rPr>
          <w:rFonts w:hint="default" w:ascii="Times New Roman" w:hAnsi="Times New Roman" w:eastAsia="仿宋_GB2312" w:cs="Times New Roman"/>
          <w:sz w:val="32"/>
          <w:szCs w:val="32"/>
          <w:highlight w:val="none"/>
        </w:rPr>
      </w:pPr>
      <w:r>
        <w:rPr>
          <w:rFonts w:hint="eastAsia" w:ascii="方正小标宋简体" w:hAnsi="方正小标宋简体" w:eastAsia="方正小标宋简体" w:cs="方正小标宋简体"/>
          <w:sz w:val="44"/>
          <w:szCs w:val="44"/>
          <w:highlight w:val="none"/>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t>一、</w:t>
      </w:r>
      <w:r>
        <w:rPr>
          <w:rFonts w:hint="default" w:ascii="Times New Roman" w:hAnsi="Times New Roman" w:eastAsia="黑体" w:cs="Times New Roman"/>
          <w:color w:val="000000" w:themeColor="text1"/>
          <w:sz w:val="32"/>
          <w:szCs w:val="32"/>
          <w:highlight w:val="none"/>
          <w14:textFill>
            <w14:solidFill>
              <w14:schemeClr w14:val="tx1"/>
            </w14:solidFill>
          </w14:textFill>
        </w:rPr>
        <w:t>单位基本情况</w:t>
      </w:r>
    </w:p>
    <w:p>
      <w:pPr>
        <w:pStyle w:val="9"/>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FF0000"/>
          <w:sz w:val="32"/>
          <w:szCs w:val="32"/>
          <w:highlight w:val="none"/>
        </w:rPr>
      </w:pPr>
      <w:r>
        <w:rPr>
          <w:rFonts w:hint="eastAsia" w:ascii="仿宋_GB2312" w:hAnsi="仿宋_GB2312" w:eastAsia="仿宋_GB2312" w:cs="仿宋_GB2312"/>
          <w:bCs/>
          <w:color w:val="000000"/>
          <w:sz w:val="32"/>
          <w:szCs w:val="32"/>
          <w:lang w:val="en-US" w:eastAsia="zh-CN"/>
        </w:rPr>
        <w:t>2024年年末市林业局内设科室14个，编制90个，实有人数78人。主要负责负责林业和草原及其生态保护修复的监督管理。组织指导林业和草原生态保护修复和造林绿化工作。负责森林、草原、湿地资源的监督管理。负责陆生野生动植物资源监督管理。负责监督管理各类自然保护地。负责推进林业和草原改革、行政执法相关工作。指导开展林业产业工作。组织林木种子、草种种质资源普查，组织建立种质资源库，负责良种选育推广，管理林木种苗、草种生产经营行为，监管林木种苗、草种质量。监督管理林业和草原生物种质资源、转基因生物安全、植物新品种保护。负责林业和草原防灾减灾工作。监督管理林业和草原资金使用和国有资产处置，提出林业和草原预算内投资、财政性资金安排建议，按规定权限，审核规划内和年度计划投资项目，指导监督林业和草原项目实施工作。负责林业和草原科技、教育和外事工作，指导全市林业人才队伍建设，组织指导林业和草原对外交流与合作事务。完成市委和市政府交办的其他任务。</w:t>
      </w:r>
    </w:p>
    <w:p>
      <w:pPr>
        <w:pStyle w:val="9"/>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pPr>
        <w:pStyle w:val="9"/>
        <w:keepNext w:val="0"/>
        <w:keepLines w:val="0"/>
        <w:pageBreakBefore w:val="0"/>
        <w:widowControl/>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pPr>
        <w:pStyle w:val="4"/>
        <w:keepNext w:val="0"/>
        <w:keepLines w:val="0"/>
        <w:pageBreakBefore w:val="0"/>
        <w:widowControl w:val="0"/>
        <w:kinsoku/>
        <w:wordWrap/>
        <w:overflowPunct/>
        <w:topLinePunct w:val="0"/>
        <w:autoSpaceDE/>
        <w:autoSpaceDN/>
        <w:bidi w:val="0"/>
        <w:adjustRightInd/>
        <w:snapToGrid/>
        <w:spacing w:beforeAutospacing="0" w:after="0" w:line="560" w:lineRule="exact"/>
        <w:ind w:firstLine="640" w:firstLineChars="200"/>
        <w:jc w:val="both"/>
        <w:textAlignment w:val="auto"/>
        <w:rPr>
          <w:rFonts w:hint="eastAsia" w:ascii="仿宋_GB2312" w:hAnsi="仿宋_GB2312" w:eastAsia="仿宋_GB2312" w:cs="仿宋_GB2312"/>
          <w:bCs/>
          <w:color w:val="000000"/>
          <w:kern w:val="2"/>
          <w:sz w:val="32"/>
          <w:szCs w:val="32"/>
          <w:lang w:val="en-US" w:eastAsia="zh-CN" w:bidi="ar-SA"/>
        </w:rPr>
      </w:pPr>
      <w:r>
        <w:rPr>
          <w:rFonts w:hint="eastAsia" w:ascii="仿宋_GB2312" w:hAnsi="仿宋_GB2312" w:eastAsia="仿宋_GB2312" w:cs="仿宋_GB2312"/>
          <w:bCs/>
          <w:color w:val="000000"/>
          <w:kern w:val="2"/>
          <w:sz w:val="32"/>
          <w:szCs w:val="32"/>
          <w:lang w:val="en-US" w:eastAsia="zh-CN" w:bidi="ar-SA"/>
        </w:rPr>
        <w:t>1.2024年林业局基本支出1918.35万元，占年度一般公共预算支出的68.67%，其中人员支出1710.45万元，占基本支出的89.16%，公用支出207.91万元，占基本支出的10.84%，基本支出主要包括基本工资、津贴补贴、养老保险、医疗保险缴费等人员支出，以及水电、物业、接待费等日常公用支出。</w:t>
      </w:r>
    </w:p>
    <w:p>
      <w:pPr>
        <w:pStyle w:val="4"/>
        <w:keepNext w:val="0"/>
        <w:keepLines w:val="0"/>
        <w:pageBreakBefore w:val="0"/>
        <w:widowControl w:val="0"/>
        <w:kinsoku/>
        <w:wordWrap/>
        <w:overflowPunct/>
        <w:topLinePunct w:val="0"/>
        <w:autoSpaceDE/>
        <w:autoSpaceDN/>
        <w:bidi w:val="0"/>
        <w:adjustRightInd/>
        <w:snapToGrid/>
        <w:spacing w:beforeAutospacing="0" w:after="0" w:line="560" w:lineRule="exact"/>
        <w:ind w:firstLine="640" w:firstLineChars="200"/>
        <w:jc w:val="both"/>
        <w:textAlignment w:val="auto"/>
        <w:rPr>
          <w:rFonts w:hint="default" w:ascii="Times New Roman" w:hAnsi="Times New Roman" w:eastAsia="楷体_GB2312" w:cs="Times New Roman"/>
          <w:b/>
          <w:sz w:val="32"/>
          <w:szCs w:val="32"/>
          <w:highlight w:val="none"/>
        </w:rPr>
      </w:pPr>
      <w:r>
        <w:rPr>
          <w:rFonts w:hint="eastAsia" w:ascii="仿宋_GB2312" w:hAnsi="仿宋_GB2312" w:eastAsia="仿宋_GB2312" w:cs="仿宋_GB2312"/>
          <w:bCs/>
          <w:color w:val="000000"/>
          <w:kern w:val="2"/>
          <w:sz w:val="32"/>
          <w:szCs w:val="32"/>
          <w:lang w:val="en-US" w:eastAsia="zh-CN" w:bidi="ar-SA"/>
        </w:rPr>
        <w:t>2.2024年林业局“三公”经费总支出24.68万元，未超过全年计划数，其中因公出国（境）费用7.54万元、公务接待费支出3.72万元、公务用车运行维护费13.42万元。“三公”经费比2023年</w:t>
      </w:r>
      <w:r>
        <w:rPr>
          <w:rFonts w:hint="eastAsia" w:ascii="仿宋_GB2312" w:hAnsi="仿宋_GB2312" w:eastAsia="仿宋_GB2312" w:cs="仿宋_GB2312"/>
          <w:bCs/>
          <w:color w:val="000000" w:themeColor="text1"/>
          <w:kern w:val="2"/>
          <w:sz w:val="32"/>
          <w:szCs w:val="32"/>
          <w:lang w:val="en-US" w:eastAsia="zh-CN" w:bidi="ar-SA"/>
          <w14:textFill>
            <w14:solidFill>
              <w14:schemeClr w14:val="tx1"/>
            </w14:solidFill>
          </w14:textFill>
        </w:rPr>
        <w:t>增加6.68万元</w:t>
      </w:r>
      <w:r>
        <w:rPr>
          <w:rFonts w:hint="eastAsia" w:ascii="仿宋_GB2312" w:hAnsi="仿宋_GB2312" w:eastAsia="仿宋_GB2312" w:cs="仿宋_GB2312"/>
          <w:bCs/>
          <w:color w:val="000000"/>
          <w:kern w:val="2"/>
          <w:sz w:val="32"/>
          <w:szCs w:val="32"/>
          <w:lang w:val="en-US" w:eastAsia="zh-CN" w:bidi="ar-SA"/>
        </w:rPr>
        <w:t>。主要是本年有因公出国（境）事项。</w:t>
      </w:r>
    </w:p>
    <w:p>
      <w:pPr>
        <w:pStyle w:val="9"/>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楷体_GB2312" w:cs="Times New Roman"/>
          <w:b/>
          <w:sz w:val="32"/>
          <w:szCs w:val="32"/>
          <w:highlight w:val="none"/>
        </w:rPr>
      </w:pPr>
      <w:r>
        <w:rPr>
          <w:rFonts w:hint="eastAsia" w:ascii="Times New Roman" w:hAnsi="Times New Roman" w:eastAsia="楷体_GB2312" w:cs="Times New Roman"/>
          <w:b/>
          <w:sz w:val="32"/>
          <w:szCs w:val="32"/>
          <w:highlight w:val="none"/>
          <w:lang w:eastAsia="zh-CN"/>
        </w:rPr>
        <w:t>（二）</w:t>
      </w:r>
      <w:r>
        <w:rPr>
          <w:rFonts w:hint="default" w:ascii="Times New Roman" w:hAnsi="Times New Roman" w:eastAsia="楷体_GB2312" w:cs="Times New Roman"/>
          <w:b/>
          <w:sz w:val="32"/>
          <w:szCs w:val="32"/>
          <w:highlight w:val="none"/>
        </w:rPr>
        <w:t>项目支出情况</w:t>
      </w:r>
    </w:p>
    <w:p>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2" w:firstLineChars="200"/>
        <w:jc w:val="both"/>
        <w:textAlignment w:val="auto"/>
        <w:rPr>
          <w:rFonts w:hint="default"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bCs w:val="0"/>
          <w:color w:val="000000"/>
          <w:sz w:val="32"/>
          <w:szCs w:val="32"/>
        </w:rPr>
        <w:t>1</w:t>
      </w:r>
      <w:r>
        <w:rPr>
          <w:rFonts w:hint="eastAsia" w:ascii="仿宋_GB2312" w:hAnsi="仿宋_GB2312" w:eastAsia="仿宋_GB2312" w:cs="仿宋_GB2312"/>
          <w:b/>
          <w:bCs w:val="0"/>
          <w:color w:val="000000"/>
          <w:sz w:val="32"/>
          <w:szCs w:val="32"/>
          <w:lang w:eastAsia="zh-CN"/>
        </w:rPr>
        <w:t>.</w:t>
      </w:r>
      <w:r>
        <w:rPr>
          <w:rFonts w:hint="eastAsia" w:ascii="仿宋_GB2312" w:hAnsi="仿宋_GB2312" w:eastAsia="仿宋_GB2312" w:cs="仿宋_GB2312"/>
          <w:b/>
          <w:bCs w:val="0"/>
          <w:color w:val="000000"/>
          <w:sz w:val="32"/>
          <w:szCs w:val="32"/>
        </w:rPr>
        <w:t>专项资金安排落实、总投入等情况分析</w:t>
      </w:r>
      <w:r>
        <w:rPr>
          <w:rFonts w:hint="eastAsia" w:ascii="仿宋_GB2312" w:hAnsi="仿宋_GB2312" w:eastAsia="仿宋_GB2312" w:cs="仿宋_GB2312"/>
          <w:b/>
          <w:bCs w:val="0"/>
          <w:color w:val="000000"/>
          <w:sz w:val="32"/>
          <w:szCs w:val="32"/>
          <w:lang w:eastAsia="zh-CN"/>
        </w:rPr>
        <w:t>。</w:t>
      </w:r>
      <w:r>
        <w:rPr>
          <w:rFonts w:hint="eastAsia" w:ascii="仿宋_GB2312" w:hAnsi="仿宋_GB2312" w:eastAsia="仿宋_GB2312" w:cs="仿宋_GB2312"/>
          <w:b w:val="0"/>
          <w:bCs/>
          <w:color w:val="000000"/>
          <w:sz w:val="32"/>
          <w:szCs w:val="32"/>
          <w:lang w:val="en-US" w:eastAsia="zh-CN"/>
        </w:rPr>
        <w:t>2024年中央、省、市财政共安排林业局专项资金36532.73万元。主要是岳阳市东洞庭湖流域河湖湿地和国际重要湿地保护修复项目资金35429万元、国际湿地城市创建、森林防火、动植物保护等专项资金1103.73万元。</w:t>
      </w:r>
    </w:p>
    <w:p>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2" w:firstLineChars="200"/>
        <w:jc w:val="both"/>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bCs w:val="0"/>
          <w:color w:val="000000"/>
          <w:sz w:val="32"/>
          <w:szCs w:val="32"/>
        </w:rPr>
        <w:t>2</w:t>
      </w:r>
      <w:r>
        <w:rPr>
          <w:rFonts w:hint="eastAsia" w:ascii="仿宋_GB2312" w:hAnsi="仿宋_GB2312" w:eastAsia="仿宋_GB2312" w:cs="仿宋_GB2312"/>
          <w:b/>
          <w:bCs w:val="0"/>
          <w:color w:val="000000"/>
          <w:sz w:val="32"/>
          <w:szCs w:val="32"/>
          <w:lang w:eastAsia="zh-CN"/>
        </w:rPr>
        <w:t>.</w:t>
      </w:r>
      <w:r>
        <w:rPr>
          <w:rFonts w:hint="eastAsia" w:ascii="仿宋_GB2312" w:hAnsi="仿宋_GB2312" w:eastAsia="仿宋_GB2312" w:cs="仿宋_GB2312"/>
          <w:b/>
          <w:bCs w:val="0"/>
          <w:color w:val="000000"/>
          <w:sz w:val="32"/>
          <w:szCs w:val="32"/>
        </w:rPr>
        <w:t>专项资金实际使用情况分析</w:t>
      </w:r>
      <w:r>
        <w:rPr>
          <w:rFonts w:hint="eastAsia" w:ascii="仿宋_GB2312" w:hAnsi="仿宋_GB2312" w:eastAsia="仿宋_GB2312" w:cs="仿宋_GB2312"/>
          <w:b/>
          <w:bCs w:val="0"/>
          <w:color w:val="000000"/>
          <w:sz w:val="32"/>
          <w:szCs w:val="32"/>
          <w:lang w:eastAsia="zh-CN"/>
        </w:rPr>
        <w:t>。</w:t>
      </w:r>
      <w:r>
        <w:rPr>
          <w:rFonts w:hint="eastAsia" w:ascii="仿宋_GB2312" w:hAnsi="仿宋_GB2312" w:eastAsia="仿宋_GB2312" w:cs="仿宋_GB2312"/>
          <w:b w:val="0"/>
          <w:bCs/>
          <w:color w:val="000000"/>
          <w:sz w:val="32"/>
          <w:szCs w:val="32"/>
          <w:lang w:val="en-US" w:eastAsia="zh-CN"/>
        </w:rPr>
        <w:t>2024年林业局项目总支出875.07万元，占</w:t>
      </w:r>
      <w:r>
        <w:rPr>
          <w:rFonts w:hint="eastAsia" w:ascii="仿宋_GB2312" w:hAnsi="仿宋_GB2312" w:eastAsia="仿宋_GB2312" w:cs="仿宋_GB2312"/>
          <w:bCs/>
          <w:color w:val="000000"/>
          <w:kern w:val="2"/>
          <w:sz w:val="32"/>
          <w:szCs w:val="32"/>
          <w:lang w:val="en-US" w:eastAsia="zh-CN" w:bidi="ar-SA"/>
        </w:rPr>
        <w:t>年度一般公共预算支出的31.33</w:t>
      </w:r>
      <w:r>
        <w:rPr>
          <w:rFonts w:hint="eastAsia" w:ascii="仿宋_GB2312" w:hAnsi="仿宋_GB2312" w:eastAsia="仿宋_GB2312" w:cs="仿宋_GB2312"/>
          <w:b w:val="0"/>
          <w:bCs/>
          <w:color w:val="000000"/>
          <w:sz w:val="32"/>
          <w:szCs w:val="32"/>
          <w:lang w:val="en-US" w:eastAsia="zh-CN"/>
        </w:rPr>
        <w:t>%。包括岳阳市东洞庭湖流域河湖湿地和国际重要湿地保护修复项目、国际湿地城市创建、森林防火、动植物保护等专项支出。</w:t>
      </w:r>
    </w:p>
    <w:p>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2" w:firstLineChars="200"/>
        <w:jc w:val="both"/>
        <w:textAlignment w:val="auto"/>
        <w:rPr>
          <w:rFonts w:hint="default"/>
        </w:rPr>
      </w:pPr>
      <w:r>
        <w:rPr>
          <w:rFonts w:hint="eastAsia" w:ascii="仿宋_GB2312" w:hAnsi="仿宋_GB2312" w:eastAsia="仿宋_GB2312" w:cs="仿宋_GB2312"/>
          <w:b/>
          <w:bCs w:val="0"/>
          <w:color w:val="000000" w:themeColor="text1"/>
          <w:sz w:val="32"/>
          <w:szCs w:val="32"/>
          <w14:textFill>
            <w14:solidFill>
              <w14:schemeClr w14:val="tx1"/>
            </w14:solidFill>
          </w14:textFill>
        </w:rPr>
        <w:t>3</w:t>
      </w:r>
      <w:r>
        <w:rPr>
          <w:rFonts w:hint="eastAsia" w:ascii="仿宋_GB2312" w:hAnsi="仿宋_GB2312" w:eastAsia="仿宋_GB2312" w:cs="仿宋_GB2312"/>
          <w:b/>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bCs w:val="0"/>
          <w:color w:val="000000" w:themeColor="text1"/>
          <w:sz w:val="32"/>
          <w:szCs w:val="32"/>
          <w14:textFill>
            <w14:solidFill>
              <w14:schemeClr w14:val="tx1"/>
            </w14:solidFill>
          </w14:textFill>
        </w:rPr>
        <w:t>专项资金管理情况分析</w:t>
      </w:r>
      <w:r>
        <w:rPr>
          <w:rFonts w:hint="eastAsia" w:ascii="仿宋_GB2312" w:hAnsi="仿宋_GB2312" w:eastAsia="仿宋_GB2312" w:cs="仿宋_GB2312"/>
          <w:b/>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sz w:val="32"/>
          <w:szCs w:val="32"/>
          <w:lang w:eastAsia="zh-CN"/>
        </w:rPr>
        <w:t>以遵循绩效目标导向为核心原则，对财政专项资金绩效管理的全过程进行把控，做好细节部署工作，提升绩效管理的针对性。</w:t>
      </w:r>
      <w:r>
        <w:rPr>
          <w:rFonts w:hint="eastAsia" w:ascii="仿宋_GB2312" w:hAnsi="仿宋_GB2312" w:eastAsia="仿宋_GB2312" w:cs="仿宋_GB2312"/>
          <w:sz w:val="32"/>
          <w:szCs w:val="32"/>
          <w:lang w:val="en-US" w:eastAsia="zh-CN"/>
        </w:rPr>
        <w:t>在保证专项资金安全的基础上，尽可能地发挥专项资金的效益。只有不断提高资金利用率，才能在满足林业单位发展需求的同时，紧跟国家政策，更好地推进林业单位可持续发展。</w:t>
      </w:r>
    </w:p>
    <w:p>
      <w:pPr>
        <w:pStyle w:val="9"/>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p>
    <w:p>
      <w:pPr>
        <w:pStyle w:val="9"/>
        <w:keepNext w:val="0"/>
        <w:keepLines w:val="0"/>
        <w:pageBreakBefore w:val="0"/>
        <w:widowControl/>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bCs/>
          <w:color w:val="000000"/>
          <w:kern w:val="0"/>
          <w:sz w:val="32"/>
          <w:szCs w:val="32"/>
          <w:lang w:val="en-US" w:eastAsia="zh-CN" w:bidi="ar-SA"/>
        </w:rPr>
        <w:t>本单位无政府性基金预算支出。</w:t>
      </w:r>
    </w:p>
    <w:p>
      <w:pPr>
        <w:pStyle w:val="9"/>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eastAsia="zh-CN"/>
        </w:rPr>
        <w:t>四、</w:t>
      </w:r>
      <w:r>
        <w:rPr>
          <w:rFonts w:hint="default" w:ascii="Times New Roman" w:hAnsi="Times New Roman" w:eastAsia="黑体" w:cs="Times New Roman"/>
          <w:sz w:val="32"/>
          <w:szCs w:val="32"/>
          <w:highlight w:val="none"/>
        </w:rPr>
        <w:t>国有资本经营预算支出情况</w:t>
      </w:r>
    </w:p>
    <w:p>
      <w:pPr>
        <w:pStyle w:val="9"/>
        <w:keepNext w:val="0"/>
        <w:keepLines w:val="0"/>
        <w:pageBreakBefore w:val="0"/>
        <w:widowControl/>
        <w:numPr>
          <w:ilvl w:val="0"/>
          <w:numId w:val="0"/>
        </w:numPr>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bCs/>
          <w:color w:val="000000"/>
          <w:kern w:val="0"/>
          <w:sz w:val="32"/>
          <w:szCs w:val="32"/>
          <w:lang w:val="en-US" w:eastAsia="zh-CN" w:bidi="ar-SA"/>
        </w:rPr>
        <w:t>本单位无国有资本经营预算支出。</w:t>
      </w:r>
    </w:p>
    <w:p>
      <w:pPr>
        <w:pStyle w:val="9"/>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eastAsia="zh-CN"/>
        </w:rPr>
        <w:t>五、</w:t>
      </w:r>
      <w:r>
        <w:rPr>
          <w:rFonts w:hint="default" w:ascii="Times New Roman" w:hAnsi="Times New Roman" w:eastAsia="黑体" w:cs="Times New Roman"/>
          <w:sz w:val="32"/>
          <w:szCs w:val="32"/>
          <w:highlight w:val="none"/>
        </w:rPr>
        <w:t>社会保险基金预算支出情况</w:t>
      </w:r>
    </w:p>
    <w:p>
      <w:pPr>
        <w:pStyle w:val="9"/>
        <w:keepNext w:val="0"/>
        <w:keepLines w:val="0"/>
        <w:pageBreakBefore w:val="0"/>
        <w:widowControl/>
        <w:numPr>
          <w:ilvl w:val="0"/>
          <w:numId w:val="0"/>
        </w:numPr>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bCs/>
          <w:color w:val="000000"/>
          <w:kern w:val="0"/>
          <w:sz w:val="32"/>
          <w:szCs w:val="32"/>
          <w:lang w:val="en-US" w:eastAsia="zh-CN" w:bidi="ar-SA"/>
        </w:rPr>
        <w:t>本单位无社会保险基金预算支出。</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t>六、</w:t>
      </w:r>
      <w:r>
        <w:rPr>
          <w:rFonts w:hint="default" w:ascii="Times New Roman" w:hAnsi="Times New Roman" w:eastAsia="黑体" w:cs="Times New Roman"/>
          <w:color w:val="000000" w:themeColor="text1"/>
          <w:sz w:val="32"/>
          <w:szCs w:val="32"/>
          <w:highlight w:val="none"/>
          <w14:textFill>
            <w14:solidFill>
              <w14:schemeClr w14:val="tx1"/>
            </w14:solidFill>
          </w14:textFill>
        </w:rPr>
        <w:t>部门整体支出绩效情况</w:t>
      </w:r>
    </w:p>
    <w:p>
      <w:pPr>
        <w:pStyle w:val="4"/>
        <w:keepNext w:val="0"/>
        <w:keepLines w:val="0"/>
        <w:pageBreakBefore w:val="0"/>
        <w:widowControl w:val="0"/>
        <w:kinsoku/>
        <w:wordWrap/>
        <w:overflowPunct/>
        <w:topLinePunct w:val="0"/>
        <w:autoSpaceDE/>
        <w:autoSpaceDN/>
        <w:bidi w:val="0"/>
        <w:adjustRightInd/>
        <w:snapToGrid/>
        <w:spacing w:beforeAutospacing="0" w:after="0" w:line="560" w:lineRule="exact"/>
        <w:ind w:left="0" w:leftChars="0" w:firstLine="642" w:firstLineChars="200"/>
        <w:jc w:val="both"/>
        <w:textAlignment w:val="auto"/>
        <w:rPr>
          <w:rFonts w:hint="eastAsia" w:ascii="仿宋_GB2312" w:hAnsi="仿宋_GB2312" w:eastAsia="仿宋_GB2312" w:cs="仿宋_GB2312"/>
          <w:b/>
          <w:bCs/>
          <w:color w:val="000000"/>
          <w:sz w:val="32"/>
          <w:szCs w:val="32"/>
          <w:lang w:val="en-US" w:eastAsia="zh-CN"/>
        </w:rPr>
      </w:pPr>
      <w:r>
        <w:rPr>
          <w:rFonts w:hint="eastAsia" w:ascii="楷体_GB2312" w:hAnsi="楷体_GB2312" w:eastAsia="楷体_GB2312" w:cs="楷体_GB2312"/>
          <w:b/>
          <w:bCs/>
          <w:color w:val="000000"/>
          <w:sz w:val="32"/>
          <w:szCs w:val="32"/>
          <w:lang w:val="en-US" w:eastAsia="zh-CN"/>
        </w:rPr>
        <w:t>(一）预算配置情况。</w:t>
      </w:r>
      <w:r>
        <w:rPr>
          <w:rFonts w:hint="eastAsia" w:ascii="仿宋_GB2312" w:hAnsi="仿宋_GB2312" w:eastAsia="仿宋_GB2312" w:cs="仿宋_GB2312"/>
          <w:bCs/>
          <w:color w:val="000000"/>
          <w:sz w:val="32"/>
          <w:szCs w:val="32"/>
          <w:lang w:val="en-US" w:eastAsia="zh-CN"/>
        </w:rPr>
        <w:t>2024</w:t>
      </w:r>
      <w:r>
        <w:rPr>
          <w:rFonts w:hint="eastAsia" w:ascii="仿宋_GB2312" w:hAnsi="仿宋_GB2312" w:eastAsia="仿宋_GB2312" w:cs="仿宋_GB2312"/>
          <w:bCs/>
          <w:color w:val="000000"/>
          <w:sz w:val="32"/>
          <w:szCs w:val="32"/>
        </w:rPr>
        <w:t>年年末</w:t>
      </w:r>
      <w:r>
        <w:rPr>
          <w:rFonts w:hint="eastAsia" w:ascii="仿宋_GB2312" w:hAnsi="仿宋_GB2312" w:eastAsia="仿宋_GB2312" w:cs="仿宋_GB2312"/>
          <w:bCs/>
          <w:color w:val="000000"/>
          <w:sz w:val="32"/>
          <w:szCs w:val="32"/>
          <w:lang w:eastAsia="zh-CN"/>
        </w:rPr>
        <w:t>林业局</w:t>
      </w:r>
      <w:r>
        <w:rPr>
          <w:rFonts w:hint="eastAsia" w:ascii="仿宋_GB2312" w:hAnsi="仿宋_GB2312" w:eastAsia="仿宋_GB2312" w:cs="仿宋_GB2312"/>
          <w:bCs/>
          <w:color w:val="000000"/>
          <w:sz w:val="32"/>
          <w:szCs w:val="32"/>
        </w:rPr>
        <w:t>在职人员编制</w:t>
      </w:r>
      <w:r>
        <w:rPr>
          <w:rFonts w:hint="eastAsia" w:ascii="仿宋_GB2312" w:hAnsi="仿宋_GB2312" w:eastAsia="仿宋_GB2312" w:cs="仿宋_GB2312"/>
          <w:bCs/>
          <w:color w:val="000000"/>
          <w:sz w:val="32"/>
          <w:szCs w:val="32"/>
          <w:lang w:val="en-US" w:eastAsia="zh-CN"/>
        </w:rPr>
        <w:t>90</w:t>
      </w:r>
      <w:r>
        <w:rPr>
          <w:rFonts w:hint="eastAsia" w:ascii="仿宋_GB2312" w:hAnsi="仿宋_GB2312" w:eastAsia="仿宋_GB2312" w:cs="仿宋_GB2312"/>
          <w:bCs/>
          <w:color w:val="000000"/>
          <w:sz w:val="32"/>
          <w:szCs w:val="32"/>
        </w:rPr>
        <w:t>人，实有在职人数</w:t>
      </w:r>
      <w:r>
        <w:rPr>
          <w:rFonts w:hint="eastAsia" w:ascii="仿宋_GB2312" w:hAnsi="仿宋_GB2312" w:eastAsia="仿宋_GB2312" w:cs="仿宋_GB2312"/>
          <w:bCs/>
          <w:color w:val="000000"/>
          <w:sz w:val="32"/>
          <w:szCs w:val="32"/>
          <w:lang w:val="en-US" w:eastAsia="zh-CN"/>
        </w:rPr>
        <w:t>78</w:t>
      </w:r>
      <w:r>
        <w:rPr>
          <w:rFonts w:hint="eastAsia" w:ascii="仿宋_GB2312" w:hAnsi="仿宋_GB2312" w:eastAsia="仿宋_GB2312" w:cs="仿宋_GB2312"/>
          <w:bCs/>
          <w:color w:val="000000"/>
          <w:sz w:val="32"/>
          <w:szCs w:val="32"/>
        </w:rPr>
        <w:t>人，年初财政拨款收入预算</w:t>
      </w:r>
      <w:r>
        <w:rPr>
          <w:rFonts w:hint="eastAsia" w:ascii="仿宋_GB2312" w:hAnsi="仿宋_GB2312" w:eastAsia="仿宋_GB2312" w:cs="仿宋_GB2312"/>
          <w:bCs/>
          <w:color w:val="000000"/>
          <w:sz w:val="32"/>
          <w:szCs w:val="32"/>
          <w:lang w:val="en-US" w:eastAsia="zh-CN"/>
        </w:rPr>
        <w:t>1775.8</w:t>
      </w:r>
      <w:r>
        <w:rPr>
          <w:rFonts w:hint="eastAsia" w:ascii="仿宋_GB2312" w:hAnsi="仿宋_GB2312" w:eastAsia="仿宋_GB2312" w:cs="仿宋_GB2312"/>
          <w:bCs/>
          <w:color w:val="000000"/>
          <w:sz w:val="32"/>
          <w:szCs w:val="32"/>
          <w:highlight w:val="none"/>
        </w:rPr>
        <w:t>万元，年末决算</w:t>
      </w:r>
      <w:r>
        <w:rPr>
          <w:rFonts w:hint="eastAsia" w:ascii="仿宋_GB2312" w:hAnsi="仿宋_GB2312" w:eastAsia="仿宋_GB2312" w:cs="仿宋_GB2312"/>
          <w:bCs/>
          <w:color w:val="000000"/>
          <w:sz w:val="32"/>
          <w:szCs w:val="32"/>
        </w:rPr>
        <w:t>收入</w:t>
      </w:r>
      <w:r>
        <w:rPr>
          <w:rFonts w:hint="eastAsia" w:ascii="仿宋_GB2312" w:hAnsi="仿宋_GB2312" w:eastAsia="仿宋_GB2312" w:cs="仿宋_GB2312"/>
          <w:bCs/>
          <w:color w:val="000000"/>
          <w:sz w:val="32"/>
          <w:szCs w:val="32"/>
          <w:lang w:val="en-US" w:eastAsia="zh-CN"/>
        </w:rPr>
        <w:t>2803.45</w:t>
      </w:r>
      <w:r>
        <w:rPr>
          <w:rFonts w:hint="eastAsia" w:ascii="仿宋_GB2312" w:hAnsi="仿宋_GB2312" w:eastAsia="仿宋_GB2312" w:cs="仿宋_GB2312"/>
          <w:bCs/>
          <w:color w:val="000000"/>
          <w:sz w:val="32"/>
          <w:szCs w:val="32"/>
        </w:rPr>
        <w:t>万元，决算支出</w:t>
      </w:r>
      <w:r>
        <w:rPr>
          <w:rFonts w:hint="eastAsia" w:ascii="仿宋_GB2312" w:hAnsi="仿宋_GB2312" w:eastAsia="仿宋_GB2312" w:cs="仿宋_GB2312"/>
          <w:bCs/>
          <w:color w:val="000000"/>
          <w:sz w:val="32"/>
          <w:szCs w:val="32"/>
          <w:lang w:val="en-US" w:eastAsia="zh-CN"/>
        </w:rPr>
        <w:t>2803.45</w:t>
      </w:r>
      <w:r>
        <w:rPr>
          <w:rFonts w:hint="eastAsia" w:ascii="仿宋_GB2312" w:hAnsi="仿宋_GB2312" w:eastAsia="仿宋_GB2312" w:cs="仿宋_GB2312"/>
          <w:bCs/>
          <w:color w:val="000000"/>
          <w:sz w:val="32"/>
          <w:szCs w:val="32"/>
        </w:rPr>
        <w:t>万元，年末决算收入与财政拨款收入预算差异为</w:t>
      </w:r>
      <w:r>
        <w:rPr>
          <w:rFonts w:hint="eastAsia" w:ascii="仿宋_GB2312" w:hAnsi="仿宋_GB2312" w:eastAsia="仿宋_GB2312" w:cs="仿宋_GB2312"/>
          <w:bCs/>
          <w:color w:val="000000"/>
          <w:sz w:val="32"/>
          <w:szCs w:val="32"/>
          <w:lang w:val="en-US" w:eastAsia="zh-CN"/>
        </w:rPr>
        <w:t>其他收入</w:t>
      </w:r>
      <w:r>
        <w:rPr>
          <w:rFonts w:hint="eastAsia" w:ascii="仿宋_GB2312" w:hAnsi="仿宋_GB2312" w:eastAsia="仿宋_GB2312" w:cs="仿宋_GB2312"/>
          <w:bCs/>
          <w:color w:val="000000"/>
          <w:sz w:val="32"/>
          <w:szCs w:val="32"/>
        </w:rPr>
        <w:t>。</w:t>
      </w:r>
    </w:p>
    <w:p>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2" w:firstLineChars="200"/>
        <w:jc w:val="both"/>
        <w:textAlignment w:val="auto"/>
        <w:rPr>
          <w:rFonts w:hint="eastAsia" w:ascii="仿宋_GB2312" w:hAnsi="仿宋_GB2312" w:eastAsia="仿宋_GB2312" w:cs="仿宋_GB2312"/>
          <w:bCs/>
          <w:color w:val="000000"/>
          <w:sz w:val="32"/>
          <w:szCs w:val="32"/>
        </w:rPr>
      </w:pPr>
      <w:r>
        <w:rPr>
          <w:rFonts w:hint="eastAsia" w:ascii="楷体_GB2312" w:hAnsi="楷体_GB2312" w:eastAsia="楷体_GB2312" w:cs="楷体_GB2312"/>
          <w:b/>
          <w:bCs/>
          <w:color w:val="000000"/>
          <w:sz w:val="32"/>
          <w:szCs w:val="32"/>
        </w:rPr>
        <w:t>（二）严格预算执行。</w:t>
      </w:r>
      <w:r>
        <w:rPr>
          <w:rFonts w:hint="eastAsia" w:ascii="仿宋_GB2312" w:hAnsi="仿宋_GB2312" w:eastAsia="仿宋_GB2312" w:cs="仿宋_GB2312"/>
          <w:bCs/>
          <w:color w:val="000000"/>
          <w:sz w:val="32"/>
          <w:szCs w:val="32"/>
        </w:rPr>
        <w:t>一是建立预算执行责任制。将</w:t>
      </w:r>
      <w:r>
        <w:rPr>
          <w:rFonts w:hint="eastAsia" w:ascii="仿宋_GB2312" w:hAnsi="仿宋_GB2312" w:eastAsia="仿宋_GB2312" w:cs="仿宋_GB2312"/>
          <w:bCs/>
          <w:color w:val="000000"/>
          <w:sz w:val="32"/>
          <w:szCs w:val="32"/>
          <w:lang w:val="en-US" w:eastAsia="zh-CN"/>
        </w:rPr>
        <w:t>2024</w:t>
      </w:r>
      <w:r>
        <w:rPr>
          <w:rFonts w:hint="eastAsia" w:ascii="仿宋_GB2312" w:hAnsi="仿宋_GB2312" w:eastAsia="仿宋_GB2312" w:cs="仿宋_GB2312"/>
          <w:bCs/>
          <w:color w:val="000000"/>
          <w:sz w:val="32"/>
          <w:szCs w:val="32"/>
        </w:rPr>
        <w:t>年度</w:t>
      </w:r>
      <w:r>
        <w:rPr>
          <w:rFonts w:hint="eastAsia" w:ascii="仿宋_GB2312" w:hAnsi="仿宋_GB2312" w:eastAsia="仿宋_GB2312" w:cs="仿宋_GB2312"/>
          <w:bCs/>
          <w:color w:val="000000"/>
          <w:sz w:val="32"/>
          <w:szCs w:val="32"/>
          <w:lang w:eastAsia="zh-CN"/>
        </w:rPr>
        <w:t>省对市的</w:t>
      </w:r>
      <w:r>
        <w:rPr>
          <w:rFonts w:hint="eastAsia" w:ascii="仿宋_GB2312" w:hAnsi="仿宋_GB2312" w:eastAsia="仿宋_GB2312" w:cs="仿宋_GB2312"/>
          <w:bCs/>
          <w:color w:val="000000"/>
          <w:sz w:val="32"/>
          <w:szCs w:val="32"/>
        </w:rPr>
        <w:t>“</w:t>
      </w:r>
      <w:r>
        <w:rPr>
          <w:rFonts w:hint="eastAsia" w:ascii="仿宋_GB2312" w:hAnsi="仿宋_GB2312" w:eastAsia="仿宋_GB2312" w:cs="仿宋_GB2312"/>
          <w:bCs/>
          <w:color w:val="000000"/>
          <w:sz w:val="32"/>
          <w:szCs w:val="32"/>
          <w:lang w:eastAsia="zh-CN"/>
        </w:rPr>
        <w:t>林长制</w:t>
      </w:r>
      <w:r>
        <w:rPr>
          <w:rFonts w:hint="eastAsia" w:ascii="仿宋_GB2312" w:hAnsi="仿宋_GB2312" w:eastAsia="仿宋_GB2312" w:cs="仿宋_GB2312"/>
          <w:bCs/>
          <w:color w:val="000000"/>
          <w:sz w:val="32"/>
          <w:szCs w:val="32"/>
        </w:rPr>
        <w:t>”</w:t>
      </w:r>
      <w:r>
        <w:rPr>
          <w:rFonts w:hint="eastAsia" w:ascii="仿宋_GB2312" w:hAnsi="仿宋_GB2312" w:eastAsia="仿宋_GB2312" w:cs="仿宋_GB2312"/>
          <w:bCs/>
          <w:color w:val="000000"/>
          <w:sz w:val="32"/>
          <w:szCs w:val="32"/>
          <w:lang w:eastAsia="zh-CN"/>
        </w:rPr>
        <w:t>工作考核等</w:t>
      </w:r>
      <w:r>
        <w:rPr>
          <w:rFonts w:hint="eastAsia" w:ascii="仿宋_GB2312" w:hAnsi="仿宋_GB2312" w:eastAsia="仿宋_GB2312" w:cs="仿宋_GB2312"/>
          <w:bCs/>
          <w:color w:val="000000"/>
          <w:sz w:val="32"/>
          <w:szCs w:val="32"/>
        </w:rPr>
        <w:t>目标任务责任分解到各科室单位，形成领导重视、衔接紧密、齐抓共管机制。二是建立预算执行信息化管理制度。部门预、决算及“三公经费”通过林业网和政府门户网全面向社会公示，接受监督。</w:t>
      </w:r>
    </w:p>
    <w:p>
      <w:pPr>
        <w:pStyle w:val="10"/>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default"/>
        </w:rPr>
      </w:pPr>
      <w:r>
        <w:rPr>
          <w:rFonts w:hint="eastAsia" w:ascii="楷体_GB2312" w:hAnsi="楷体_GB2312" w:eastAsia="楷体_GB2312" w:cs="楷体_GB2312"/>
          <w:b/>
          <w:bCs/>
          <w:color w:val="000000"/>
          <w:sz w:val="32"/>
          <w:szCs w:val="32"/>
        </w:rPr>
        <w:t>（</w:t>
      </w:r>
      <w:r>
        <w:rPr>
          <w:rFonts w:hint="eastAsia" w:ascii="楷体_GB2312" w:hAnsi="楷体_GB2312" w:eastAsia="楷体_GB2312" w:cs="楷体_GB2312"/>
          <w:b/>
          <w:bCs/>
          <w:color w:val="000000"/>
          <w:sz w:val="32"/>
          <w:szCs w:val="32"/>
          <w:lang w:eastAsia="zh-CN"/>
        </w:rPr>
        <w:t>三</w:t>
      </w:r>
      <w:r>
        <w:rPr>
          <w:rFonts w:hint="eastAsia" w:ascii="楷体_GB2312" w:hAnsi="楷体_GB2312" w:eastAsia="楷体_GB2312" w:cs="楷体_GB2312"/>
          <w:b/>
          <w:bCs/>
          <w:color w:val="000000"/>
          <w:sz w:val="32"/>
          <w:szCs w:val="32"/>
        </w:rPr>
        <w:t>）提升支出绩效。</w:t>
      </w:r>
      <w:r>
        <w:rPr>
          <w:rFonts w:hint="eastAsia" w:ascii="Times New Roman" w:hAnsi="Times New Roman" w:eastAsia="仿宋_GB2312" w:cs="Times New Roman"/>
          <w:b/>
          <w:bCs/>
          <w:color w:val="000000"/>
          <w:kern w:val="0"/>
          <w:sz w:val="32"/>
          <w:szCs w:val="32"/>
          <w:lang w:val="en-US" w:eastAsia="zh-CN" w:bidi="ar-SA"/>
        </w:rPr>
        <w:t>一是积极创建国际湿地城市。</w:t>
      </w:r>
      <w:r>
        <w:rPr>
          <w:rFonts w:hint="eastAsia" w:ascii="仿宋_GB2312" w:hAnsi="仿宋_GB2312" w:eastAsia="仿宋_GB2312" w:cs="仿宋_GB2312"/>
          <w:color w:val="000000"/>
          <w:kern w:val="0"/>
          <w:sz w:val="32"/>
          <w:szCs w:val="32"/>
          <w:lang w:val="en-US" w:eastAsia="zh-CN" w:bidi="ar-SA"/>
        </w:rPr>
        <w:t>2024年4月19日，岳阳在全国19家申报城市中脱颖而出，成功入围国家林草局提名名单（全国仅提名7家）。至此，全市创湿工作的国内程序已圆满完成。《湿地公约》第十五届缔约方会议时间已定，将于2025年7月23日至31日进行，由津巴布韦承办会议，届时将授予“国际湿地城市”牌子。</w:t>
      </w:r>
      <w:r>
        <w:rPr>
          <w:rFonts w:hint="eastAsia" w:ascii="Times New Roman" w:hAnsi="Times New Roman" w:eastAsia="仿宋_GB2312" w:cs="Times New Roman"/>
          <w:b/>
          <w:bCs/>
          <w:color w:val="000000"/>
          <w:kern w:val="0"/>
          <w:sz w:val="32"/>
          <w:szCs w:val="32"/>
          <w:lang w:val="en-US" w:eastAsia="zh-CN" w:bidi="ar-SA"/>
        </w:rPr>
        <w:t>二是科学开展国土绿化。</w:t>
      </w:r>
      <w:r>
        <w:rPr>
          <w:rFonts w:hint="eastAsia" w:ascii="仿宋_GB2312" w:hAnsi="仿宋_GB2312" w:eastAsia="仿宋_GB2312" w:cs="仿宋_GB2312"/>
          <w:b w:val="0"/>
          <w:bCs w:val="0"/>
          <w:color w:val="000000"/>
          <w:kern w:val="0"/>
          <w:sz w:val="32"/>
          <w:szCs w:val="32"/>
          <w:lang w:val="en-US" w:eastAsia="zh-CN" w:bidi="ar-SA"/>
        </w:rPr>
        <w:t>全面完成2024年造林任务，全市共计完成人工造林11.3万亩、退化林修复0.7万亩、人工种草400亩。其中：完成中央财政造林补助项目面积达11.22万亩、省级生态廊道建设800亩、“山水”项目退化林修复0.7万亩、省级草原生态保护修复项目人工种草400亩，任务完成率100 %。完成落地上图面积14.64万亩，其中2023年造林补助项目结果上图13.86万亩、“山水”项目0.7万亩、省级生态廊道800亩，上图率100 %。全线铺开义务植树，全市共计335.91万人次参与义务植树，完成义务植树株数1417.34万株，“互联网+义务植树”平台上线24个义务植树活动，共计1.5万人次通过线上平台参与植树活动。全面完成《岳阳市古树名木三年保护专项规划（2024年-2026年）》编制，在全省地州市率先完成古树名木保护专项规划。</w:t>
      </w:r>
      <w:r>
        <w:rPr>
          <w:rFonts w:hint="eastAsia" w:ascii="仿宋_GB2312" w:hAnsi="仿宋_GB2312" w:eastAsia="仿宋_GB2312" w:cs="仿宋_GB2312"/>
          <w:b/>
          <w:bCs/>
          <w:color w:val="000000"/>
          <w:kern w:val="0"/>
          <w:sz w:val="32"/>
          <w:szCs w:val="32"/>
          <w:lang w:val="en-US" w:eastAsia="zh-CN" w:bidi="ar-SA"/>
        </w:rPr>
        <w:t>三是着力发展林业产业。</w:t>
      </w:r>
      <w:r>
        <w:rPr>
          <w:rFonts w:hint="eastAsia" w:ascii="仿宋_GB2312" w:hAnsi="仿宋_GB2312" w:eastAsia="仿宋_GB2312" w:cs="仿宋_GB2312"/>
          <w:b w:val="0"/>
          <w:bCs w:val="0"/>
          <w:color w:val="000000"/>
          <w:kern w:val="0"/>
          <w:sz w:val="32"/>
          <w:szCs w:val="32"/>
          <w:lang w:val="en-US" w:eastAsia="zh-CN" w:bidi="ar-SA"/>
        </w:rPr>
        <w:t>全力推进油茶生产，截至12月底，全市完成油茶新造9.33万亩、低改6.15万亩。加强森林生态旅游试点示范基地建设，全市共获批森林康养基地9个（国家级1个、省级8个）、五星级森林人家1个，今年以来，五尖山森林公园、幕阜山森林公园、大云山森林公园共接待游客41.15万人次，综合旅游收入1475.95万元。高水平筹备观鸟节，进一步打造岳阳“中国观鸟之都”的生态品牌，展示岳阳生物多样性保护、生态修复保护的成果。</w:t>
      </w:r>
      <w:r>
        <w:rPr>
          <w:rFonts w:hint="eastAsia" w:ascii="Times New Roman" w:hAnsi="Times New Roman" w:eastAsia="仿宋_GB2312" w:cs="Times New Roman"/>
          <w:b/>
          <w:bCs/>
          <w:color w:val="000000"/>
          <w:kern w:val="0"/>
          <w:sz w:val="32"/>
          <w:szCs w:val="32"/>
          <w:lang w:val="en-US" w:eastAsia="zh-CN" w:bidi="ar-SA"/>
        </w:rPr>
        <w:t>四是扎实开展森林两防。</w:t>
      </w:r>
      <w:r>
        <w:rPr>
          <w:rFonts w:hint="eastAsia" w:ascii="Times New Roman" w:hAnsi="Times New Roman" w:eastAsia="仿宋_GB2312" w:cs="Times New Roman"/>
          <w:b w:val="0"/>
          <w:bCs w:val="0"/>
          <w:color w:val="000000"/>
          <w:kern w:val="0"/>
          <w:sz w:val="32"/>
          <w:szCs w:val="32"/>
          <w:lang w:val="en-US" w:eastAsia="zh-CN" w:bidi="ar-SA"/>
        </w:rPr>
        <w:t>森林防火上，</w:t>
      </w:r>
      <w:r>
        <w:rPr>
          <w:rFonts w:hint="eastAsia" w:ascii="仿宋_GB2312" w:hAnsi="仿宋_GB2312" w:eastAsia="仿宋_GB2312" w:cs="仿宋_GB2312"/>
          <w:b w:val="0"/>
          <w:bCs w:val="0"/>
          <w:color w:val="000000"/>
          <w:kern w:val="0"/>
          <w:sz w:val="32"/>
          <w:szCs w:val="32"/>
          <w:lang w:val="en-US" w:eastAsia="zh-CN" w:bidi="ar-SA"/>
        </w:rPr>
        <w:t>深化源头治理，以森林火灾隐患排查整治“三抓三促”专项行动、2024年森林草原火灾重大隐患动态清零和查处违规用火行为专项行动为抓手，联合电力、森林公安等部门深入重点部位，今年以来全市共整改森林火灾隐患816处，清理坟头墓地周边、林区电网周边、房前屋后林缘内可燃物共2.57万处，清理进山入林道路两边、林农交错地边、林内道路两边、防火隔离带内可燃物6986.73公里。在全市范围超额建设林火阻隔系统1439.91公里，新增森林消防蓄水池29205.2立方米，切实补齐森林防火基础设施建设短板。市县乡全面建立野外违规用火举报奖励制度，联合应急、农业农村、公安开展违规用火专项查处行动，今年来，全市共制止野外违规用火数559起，教育、劝阻3100余人次。行业安全生产上，</w:t>
      </w:r>
      <w:r>
        <w:rPr>
          <w:rFonts w:hint="eastAsia" w:ascii="仿宋_GB2312" w:hAnsi="仿宋_GB2312" w:eastAsia="仿宋_GB2312" w:cs="仿宋_GB2312"/>
          <w:color w:val="000000"/>
          <w:kern w:val="0"/>
          <w:sz w:val="32"/>
          <w:szCs w:val="32"/>
          <w:lang w:val="en-US" w:eastAsia="zh-CN" w:bidi="ar-SA"/>
        </w:rPr>
        <w:t>紧盯行业重点领域、重点地区、重要环节，聚焦消防安全、林区道路、林业旅游景点、木材采运、木材加工等方面，认真细致开展事故隐患专项排查，守牢了林业行业安全生产底线。</w:t>
      </w:r>
      <w:r>
        <w:rPr>
          <w:rFonts w:hint="eastAsia" w:ascii="Times New Roman" w:hAnsi="Times New Roman" w:eastAsia="仿宋_GB2312" w:cs="Times New Roman"/>
          <w:b w:val="0"/>
          <w:bCs w:val="0"/>
          <w:color w:val="000000"/>
          <w:kern w:val="0"/>
          <w:sz w:val="32"/>
          <w:szCs w:val="32"/>
          <w:lang w:val="en-US" w:eastAsia="zh-CN" w:bidi="ar-SA"/>
        </w:rPr>
        <w:t>森林病虫害防控上，</w:t>
      </w:r>
      <w:r>
        <w:rPr>
          <w:rFonts w:hint="eastAsia" w:ascii="仿宋_GB2312" w:hAnsi="仿宋_GB2312" w:eastAsia="仿宋_GB2312" w:cs="仿宋_GB2312"/>
          <w:b w:val="0"/>
          <w:bCs w:val="0"/>
          <w:color w:val="000000"/>
          <w:kern w:val="0"/>
          <w:sz w:val="32"/>
          <w:szCs w:val="32"/>
          <w:lang w:val="en-US" w:eastAsia="zh-CN" w:bidi="ar-SA"/>
        </w:rPr>
        <w:t>我市松材线虫病发生面积18.55万亩（其中岳阳县0.26万亩，平江县16.7万亩，临湘市0.99万亩，汨罗市0.59万亩），病死松树8.87万株，全市小班总计3387个，实现松材线虫病疫区、疫点、疫情发生面积、疫情发生小班、病死松树数量“五下降”，整体任务完成率100%。开展全域执法专项行动，全市集中排查疫木处置厂和木材加工企业246家，开展检疫执法行动49次，查处非法调运、利用疫木行政案件36起，行政处罚23人，移交森林公安刑事案件5起，查处销毁松木及其制品577吨、松柴126吨，处理罚款30余万元。</w:t>
      </w:r>
      <w:r>
        <w:rPr>
          <w:rFonts w:hint="eastAsia" w:ascii="仿宋_GB2312" w:hAnsi="仿宋_GB2312" w:eastAsia="仿宋_GB2312" w:cs="仿宋_GB2312"/>
          <w:b/>
          <w:bCs/>
          <w:color w:val="000000"/>
          <w:kern w:val="0"/>
          <w:sz w:val="32"/>
          <w:szCs w:val="32"/>
          <w:lang w:val="en-US" w:eastAsia="zh-CN" w:bidi="ar-SA"/>
        </w:rPr>
        <w:t>五</w:t>
      </w:r>
      <w:r>
        <w:rPr>
          <w:rFonts w:hint="eastAsia" w:ascii="Times New Roman" w:hAnsi="Times New Roman" w:eastAsia="仿宋_GB2312" w:cs="Times New Roman"/>
          <w:b/>
          <w:bCs/>
          <w:color w:val="000000"/>
          <w:kern w:val="0"/>
          <w:sz w:val="32"/>
          <w:szCs w:val="32"/>
          <w:lang w:val="en-US" w:eastAsia="zh-CN" w:bidi="ar-SA"/>
        </w:rPr>
        <w:t>是强化林地资源管理。</w:t>
      </w:r>
      <w:r>
        <w:rPr>
          <w:rFonts w:hint="eastAsia" w:ascii="仿宋_GB2312" w:hAnsi="仿宋_GB2312" w:eastAsia="仿宋_GB2312" w:cs="仿宋_GB2312"/>
          <w:b w:val="0"/>
          <w:bCs w:val="0"/>
          <w:color w:val="000000"/>
          <w:kern w:val="0"/>
          <w:sz w:val="32"/>
          <w:szCs w:val="32"/>
          <w:lang w:val="en-US" w:eastAsia="zh-CN" w:bidi="ar-SA"/>
        </w:rPr>
        <w:t>完成国家下发1370个森林督查和审计反馈图斑的自查核实，高质量完成2023森林督查自查核实发现135件案件整改任务，确保森林督查自查工作有序推进。依法制止和打击各类破坏候鸟等野生动物资源的违法犯罪行为，共出动执法车辆274车次、执法人员697人次，检查场所764处，办理案件17起，其中刑事案件14起，处理违法人员24人，收缴野生动物5只，收缴非法工具73个。</w:t>
      </w:r>
      <w:r>
        <w:rPr>
          <w:rFonts w:hint="eastAsia" w:ascii="仿宋_GB2312" w:hAnsi="仿宋_GB2312" w:eastAsia="仿宋_GB2312" w:cs="仿宋_GB2312"/>
          <w:b/>
          <w:bCs/>
          <w:color w:val="000000"/>
          <w:kern w:val="0"/>
          <w:sz w:val="32"/>
          <w:szCs w:val="32"/>
          <w:lang w:val="en-US" w:eastAsia="zh-CN" w:bidi="ar-SA"/>
        </w:rPr>
        <w:t>六</w:t>
      </w:r>
      <w:r>
        <w:rPr>
          <w:rFonts w:hint="eastAsia" w:ascii="Times New Roman" w:hAnsi="Times New Roman" w:eastAsia="仿宋_GB2312" w:cs="Times New Roman"/>
          <w:b/>
          <w:bCs/>
          <w:color w:val="000000"/>
          <w:kern w:val="0"/>
          <w:sz w:val="32"/>
          <w:szCs w:val="32"/>
          <w:lang w:val="en-US" w:eastAsia="zh-CN" w:bidi="ar-SA"/>
        </w:rPr>
        <w:t>是抓好涉林生态环境问题整改。</w:t>
      </w:r>
      <w:r>
        <w:rPr>
          <w:rFonts w:hint="eastAsia" w:ascii="仿宋_GB2312" w:hAnsi="仿宋_GB2312" w:eastAsia="仿宋_GB2312" w:cs="仿宋_GB2312"/>
          <w:b w:val="0"/>
          <w:bCs w:val="0"/>
          <w:color w:val="000000"/>
          <w:kern w:val="0"/>
          <w:sz w:val="32"/>
          <w:szCs w:val="32"/>
          <w:lang w:val="en-US" w:eastAsia="zh-CN" w:bidi="ar-SA"/>
        </w:rPr>
        <w:t>积极配合中央、省级环保督察，强化涉林问题自查整改，高效完成自然保护地生态问题排查整改，截至目前，全市32个保护地积极行动，共开展各项活动800余次，排查各类生态环境问题和安全隐患70个。做好了2个长江经济带生态环境警示片涉林问题整改销号工作，一是东洞庭湖国家级自然保护区实验区内新种植欧美黑杨约3000亩问题，已于2023年7月对长江岸线长沟子地段3000亩杨树进行了全面清退，并将枝桠进行了清运，完成了自然生态修复。二是东洞庭湖国家级自然保护区内存在大量喷洒农药除草剂问题，已基本完成自然生态修复，组织开展了生态监测，11月22日，完成了省级现场核查验收，并同意销号。</w:t>
      </w:r>
      <w:r>
        <w:rPr>
          <w:rFonts w:hint="eastAsia" w:ascii="仿宋_GB2312" w:hAnsi="仿宋_GB2312" w:eastAsia="仿宋_GB2312" w:cs="仿宋_GB2312"/>
          <w:b/>
          <w:bCs/>
          <w:color w:val="000000"/>
          <w:kern w:val="0"/>
          <w:sz w:val="32"/>
          <w:szCs w:val="32"/>
          <w:lang w:val="en-US" w:eastAsia="zh-CN" w:bidi="ar-SA"/>
        </w:rPr>
        <w:t>七</w:t>
      </w:r>
      <w:r>
        <w:rPr>
          <w:rFonts w:hint="eastAsia" w:ascii="Times New Roman" w:hAnsi="Times New Roman" w:eastAsia="仿宋_GB2312" w:cs="Times New Roman"/>
          <w:b/>
          <w:bCs/>
          <w:color w:val="000000"/>
          <w:kern w:val="0"/>
          <w:sz w:val="32"/>
          <w:szCs w:val="32"/>
          <w:lang w:val="en-US" w:eastAsia="zh-CN" w:bidi="ar-SA"/>
        </w:rPr>
        <w:t>是推深做实林长制。</w:t>
      </w:r>
      <w:r>
        <w:rPr>
          <w:rFonts w:hint="eastAsia" w:ascii="仿宋_GB2312" w:hAnsi="仿宋_GB2312" w:eastAsia="仿宋_GB2312" w:cs="仿宋_GB2312"/>
          <w:b w:val="0"/>
          <w:bCs w:val="0"/>
          <w:color w:val="000000"/>
          <w:kern w:val="0"/>
          <w:sz w:val="32"/>
          <w:szCs w:val="32"/>
          <w:lang w:val="en-US" w:eastAsia="zh-CN" w:bidi="ar-SA"/>
        </w:rPr>
        <w:t>第一时间响应落实省总林长会议精神，于6月6日</w:t>
      </w:r>
      <w:r>
        <w:rPr>
          <w:rFonts w:hint="eastAsia" w:ascii="仿宋_GB2312" w:hAnsi="仿宋_GB2312" w:eastAsia="仿宋_GB2312" w:cs="仿宋_GB2312"/>
          <w:b w:val="0"/>
          <w:bCs w:val="0"/>
          <w:color w:val="000000"/>
          <w:kern w:val="0"/>
          <w:sz w:val="32"/>
          <w:szCs w:val="32"/>
          <w:highlight w:val="none"/>
          <w:lang w:val="en-US" w:eastAsia="zh-CN" w:bidi="ar-SA"/>
        </w:rPr>
        <w:t>召开</w:t>
      </w:r>
      <w:r>
        <w:rPr>
          <w:rFonts w:hint="eastAsia" w:ascii="仿宋_GB2312" w:hAnsi="仿宋_GB2312" w:eastAsia="仿宋_GB2312" w:cs="仿宋_GB2312"/>
          <w:b w:val="0"/>
          <w:bCs w:val="0"/>
          <w:color w:val="000000"/>
          <w:kern w:val="0"/>
          <w:sz w:val="32"/>
          <w:szCs w:val="32"/>
          <w:lang w:val="en-US" w:eastAsia="zh-CN" w:bidi="ar-SA"/>
        </w:rPr>
        <w:t>全市林长会议，平江县、岳阳县林长现场述职，省委常委、市委书记谢卫江充分肯定了林长制工作成效，要求持续打造“林长制看岳阳”品牌。</w:t>
      </w:r>
      <w:r>
        <w:rPr>
          <w:rFonts w:hint="eastAsia" w:ascii="仿宋_GB2312" w:hAnsi="仿宋_GB2312" w:eastAsia="仿宋_GB2312" w:cs="仿宋_GB2312"/>
          <w:color w:val="000000"/>
          <w:kern w:val="0"/>
          <w:sz w:val="32"/>
          <w:szCs w:val="32"/>
          <w:lang w:val="en-US" w:eastAsia="zh-CN" w:bidi="ar-SA"/>
        </w:rPr>
        <w:t>发挥林长“头雁”效应，2024年市、县林长累计召开林长会议12次、签发林长令13个、巡林督导763次，协调解决雨雪冰冻灾后林业重建、国土绿化、涉林生态环境问题整改、森林防灭火等林业重难点问题70个，全面建立起林草湿资源保护长效机制。选优配强基层林业力量，建立健全生态护林员“选、聘、用、管”制度，压实“三防三护（防火、防盗、防疫，护鸟、护林、护山）”职责，今年以来全市共撤换、调整、解聘不合格护林员233名，护林员“131”机制核查获省级奖励人次达124人，林业科技员任务办结率达100%。</w:t>
      </w:r>
      <w:r>
        <w:rPr>
          <w:rFonts w:hint="eastAsia" w:ascii="仿宋_GB2312" w:hAnsi="仿宋_GB2312" w:eastAsia="仿宋_GB2312" w:cs="仿宋_GB2312"/>
          <w:b/>
          <w:bCs/>
          <w:color w:val="000000"/>
          <w:kern w:val="0"/>
          <w:sz w:val="32"/>
          <w:szCs w:val="32"/>
          <w:lang w:val="en-US" w:eastAsia="zh-CN" w:bidi="ar-SA"/>
        </w:rPr>
        <w:t>八</w:t>
      </w:r>
      <w:r>
        <w:rPr>
          <w:rFonts w:hint="eastAsia" w:ascii="Times New Roman" w:hAnsi="Times New Roman" w:eastAsia="仿宋_GB2312" w:cs="Times New Roman"/>
          <w:b/>
          <w:bCs/>
          <w:color w:val="000000"/>
          <w:kern w:val="0"/>
          <w:sz w:val="32"/>
          <w:szCs w:val="32"/>
          <w:lang w:val="en-US" w:eastAsia="zh-CN" w:bidi="ar-SA"/>
        </w:rPr>
        <w:t>是深化集体林权改革。</w:t>
      </w:r>
      <w:r>
        <w:rPr>
          <w:rFonts w:hint="eastAsia" w:ascii="仿宋_GB2312" w:hAnsi="仿宋_GB2312" w:eastAsia="仿宋_GB2312" w:cs="仿宋_GB2312"/>
          <w:b w:val="0"/>
          <w:bCs w:val="0"/>
          <w:color w:val="000000"/>
          <w:kern w:val="0"/>
          <w:sz w:val="32"/>
          <w:szCs w:val="32"/>
          <w:lang w:val="en-US" w:eastAsia="zh-CN" w:bidi="ar-SA"/>
        </w:rPr>
        <w:t>下发《岳阳市林业局落实&lt;湖南省深化集体林权制度改革实施方案&gt;涉林重点工作任务责任分解》，细化工作任务，明确牵头单位和责任单位。全面摸清辖区范围内林地承包经营、林地流转、林业规模经营主体底数，全市承包经营分山到户面积624.3万亩、集体统一经营面积58.4万亩、集体林地流转面积155.8万亩，林业规模经营主体187家。正式挂牌成立岳阳市农村产权交易中心，制定了集体林地经营权和林木所有权、使用权流转的产权交易服务指南，积极引导林农进入产权交易平台来集中流转交易，为林农和经营者林权流转提供了信息发布平台及交易保障。</w:t>
      </w:r>
      <w:r>
        <w:rPr>
          <w:rFonts w:hint="eastAsia" w:ascii="Times New Roman" w:hAnsi="Times New Roman" w:eastAsia="仿宋_GB2312" w:cs="Times New Roman"/>
          <w:b/>
          <w:bCs/>
          <w:color w:val="000000"/>
          <w:kern w:val="0"/>
          <w:sz w:val="32"/>
          <w:szCs w:val="32"/>
          <w:lang w:val="en-US" w:eastAsia="zh-CN" w:bidi="ar-SA"/>
        </w:rPr>
        <w:t>九是着力助推项目建设。</w:t>
      </w:r>
      <w:r>
        <w:rPr>
          <w:rFonts w:hint="eastAsia" w:ascii="仿宋_GB2312" w:hAnsi="仿宋_GB2312" w:eastAsia="仿宋_GB2312" w:cs="仿宋_GB2312"/>
          <w:b w:val="0"/>
          <w:bCs w:val="0"/>
          <w:color w:val="000000"/>
          <w:kern w:val="0"/>
          <w:sz w:val="32"/>
          <w:szCs w:val="32"/>
          <w:lang w:val="en-US" w:eastAsia="zh-CN" w:bidi="ar-SA"/>
        </w:rPr>
        <w:t>根据项目建设的要求，配合相关部门，为项目选址提供林业意见，避开项目建设林业的禁止区域，先后为光伏、风电、G4扩容、高压输电工程和天然气管道等提供优质的选址服务。为有效服务重大项目建设，先后为湘投能源岳州2×100万千瓦燃煤发电工程、S310岳阳县公田至新墙公路改建工程（一期）、陕煤汨罗2×100万千瓦燃煤发电工程等项目办理了临时使用林地手续，积极保障重大项目的建设，2024年全市共办理林地项目363起，使用林地面积1131.69公顷。加强项目事前监管，对屈原管理区河泊潭农文旅工程建设项目、君山集中供水工程、华容护城涝区泵站更新改造工程等12个项目进行了事前监管现场核查。按市委市政府要求办理了贮木场路木业路建设项目、理工学院6栋学生宿舍楼建设项目等13个项目的选址核准手续和建筑风貌调整。</w:t>
      </w:r>
    </w:p>
    <w:p>
      <w:pPr>
        <w:pStyle w:val="9"/>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t>七、</w:t>
      </w:r>
      <w:r>
        <w:rPr>
          <w:rFonts w:hint="default" w:ascii="Times New Roman" w:hAnsi="Times New Roman" w:eastAsia="黑体" w:cs="Times New Roman"/>
          <w:color w:val="000000" w:themeColor="text1"/>
          <w:sz w:val="32"/>
          <w:szCs w:val="32"/>
          <w:highlight w:val="none"/>
          <w14:textFill>
            <w14:solidFill>
              <w14:schemeClr w14:val="tx1"/>
            </w14:solidFill>
          </w14:textFill>
        </w:rPr>
        <w:t>存在的问题及原因分析</w:t>
      </w:r>
    </w:p>
    <w:p>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2" w:firstLineChars="200"/>
        <w:jc w:val="both"/>
        <w:textAlignment w:val="auto"/>
        <w:rPr>
          <w:rFonts w:hint="eastAsia" w:ascii="仿宋_GB2312" w:hAnsi="仿宋_GB2312" w:eastAsia="仿宋_GB2312" w:cs="仿宋_GB2312"/>
          <w:bCs/>
          <w:color w:val="000000"/>
          <w:kern w:val="2"/>
          <w:sz w:val="32"/>
          <w:szCs w:val="32"/>
          <w:lang w:val="en-US" w:eastAsia="zh-CN" w:bidi="ar-SA"/>
        </w:rPr>
      </w:pPr>
      <w:r>
        <w:rPr>
          <w:rFonts w:hint="eastAsia" w:ascii="楷体_GB2312" w:hAnsi="楷体_GB2312" w:eastAsia="楷体_GB2312" w:cs="楷体_GB2312"/>
          <w:b/>
          <w:bCs w:val="0"/>
          <w:color w:val="000000"/>
          <w:sz w:val="32"/>
          <w:szCs w:val="32"/>
        </w:rPr>
        <w:t>（一）预算编制与预算执行有偏差。</w:t>
      </w:r>
      <w:r>
        <w:rPr>
          <w:rFonts w:hint="eastAsia" w:ascii="仿宋_GB2312" w:hAnsi="仿宋_GB2312" w:eastAsia="仿宋_GB2312" w:cs="仿宋_GB2312"/>
          <w:bCs/>
          <w:color w:val="000000"/>
          <w:kern w:val="2"/>
          <w:sz w:val="32"/>
          <w:szCs w:val="32"/>
          <w:lang w:val="en-US" w:eastAsia="zh-CN" w:bidi="ar-SA"/>
        </w:rPr>
        <w:t>因许多人员经费有政策支撑却没有经费预算，人员经费和工作经费缺口较大，导致预算编制与预算执行有差距。</w:t>
      </w:r>
    </w:p>
    <w:p>
      <w:pPr>
        <w:pStyle w:val="9"/>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黑体" w:cs="Times New Roman"/>
          <w:color w:val="FF0000"/>
          <w:sz w:val="32"/>
          <w:szCs w:val="32"/>
          <w:highlight w:val="none"/>
        </w:rPr>
      </w:pPr>
      <w:r>
        <w:rPr>
          <w:rFonts w:hint="eastAsia" w:ascii="楷体_GB2312" w:hAnsi="楷体_GB2312" w:eastAsia="楷体_GB2312" w:cs="楷体_GB2312"/>
          <w:b/>
          <w:bCs w:val="0"/>
          <w:color w:val="000000"/>
          <w:sz w:val="32"/>
          <w:szCs w:val="32"/>
          <w:lang w:val="en-US" w:eastAsia="zh-CN"/>
        </w:rPr>
        <w:t>（二）资产重购轻管现象仍然存在。</w:t>
      </w:r>
      <w:r>
        <w:rPr>
          <w:rFonts w:hint="eastAsia" w:ascii="仿宋_GB2312" w:hAnsi="仿宋_GB2312" w:eastAsia="仿宋_GB2312" w:cs="仿宋_GB2312"/>
          <w:b w:val="0"/>
          <w:bCs/>
          <w:color w:val="000000"/>
          <w:kern w:val="2"/>
          <w:sz w:val="32"/>
          <w:szCs w:val="32"/>
          <w:lang w:val="en-US" w:eastAsia="zh-CN" w:bidi="ar-SA"/>
        </w:rPr>
        <w:t>由于资产管理意识不够强，还个别存在重购置、轻管理现象，新增资产有未及时粘贴资产条码，人员调整或人员退休，存在未及时办理固定资产移交和变动手续等情况。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八、下一步改进措施</w:t>
      </w:r>
    </w:p>
    <w:p>
      <w:pPr>
        <w:keepNext w:val="0"/>
        <w:keepLines w:val="0"/>
        <w:pageBreakBefore w:val="0"/>
        <w:widowControl/>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楷体_GB2312" w:hAnsi="楷体_GB2312" w:eastAsia="楷体_GB2312" w:cs="楷体_GB2312"/>
          <w:b/>
          <w:bCs w:val="0"/>
          <w:color w:val="000000"/>
          <w:kern w:val="0"/>
          <w:sz w:val="32"/>
          <w:szCs w:val="32"/>
          <w:lang w:val="en-US" w:eastAsia="zh-CN" w:bidi="ar-SA"/>
        </w:rPr>
        <w:t>（一）加强开源节流。</w:t>
      </w:r>
      <w:r>
        <w:rPr>
          <w:rFonts w:hint="eastAsia" w:ascii="仿宋_GB2312" w:hAnsi="仿宋_GB2312" w:eastAsia="仿宋_GB2312" w:cs="仿宋_GB2312"/>
          <w:b w:val="0"/>
          <w:bCs/>
          <w:color w:val="000000"/>
          <w:kern w:val="2"/>
          <w:sz w:val="32"/>
          <w:szCs w:val="32"/>
          <w:lang w:val="en-US" w:eastAsia="zh-CN" w:bidi="ar-SA"/>
        </w:rPr>
        <w:t>一方面积极向财政汇报，争取资金支持；一方面牢固树立“过紧日子”思想，厉行节约，严格支出管理。</w:t>
      </w:r>
    </w:p>
    <w:p>
      <w:pPr>
        <w:pStyle w:val="2"/>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firstLine="642" w:firstLineChars="200"/>
        <w:textAlignment w:val="auto"/>
        <w:rPr>
          <w:rFonts w:hint="default" w:ascii="Times New Roman" w:hAnsi="Times New Roman" w:eastAsia="黑体" w:cs="Times New Roman"/>
          <w:color w:val="FF0000"/>
          <w:sz w:val="32"/>
          <w:szCs w:val="32"/>
          <w:highlight w:val="none"/>
        </w:rPr>
      </w:pPr>
      <w:r>
        <w:rPr>
          <w:rFonts w:hint="eastAsia" w:ascii="楷体_GB2312" w:hAnsi="楷体_GB2312" w:eastAsia="楷体_GB2312" w:cs="楷体_GB2312"/>
          <w:b/>
          <w:bCs w:val="0"/>
          <w:color w:val="000000"/>
          <w:kern w:val="0"/>
          <w:sz w:val="32"/>
          <w:szCs w:val="32"/>
          <w:lang w:val="en-US" w:eastAsia="zh-CN" w:bidi="ar-SA"/>
        </w:rPr>
        <w:t>（二）加强实物资产管理人员培训。</w:t>
      </w:r>
      <w:r>
        <w:rPr>
          <w:rFonts w:hint="eastAsia" w:ascii="仿宋_GB2312" w:hAnsi="仿宋_GB2312" w:eastAsia="仿宋_GB2312" w:cs="仿宋_GB2312"/>
          <w:b w:val="0"/>
          <w:bCs/>
          <w:color w:val="000000"/>
          <w:kern w:val="2"/>
          <w:sz w:val="32"/>
          <w:szCs w:val="32"/>
          <w:lang w:val="en-US" w:eastAsia="zh-CN" w:bidi="ar-SA"/>
        </w:rPr>
        <w:t>加强实物资产管理人员培训，增强工作责任感，把资产制度、规定落到实处。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九、部门整体支出绩效自评结果拟应用和公开情况</w:t>
      </w:r>
    </w:p>
    <w:p>
      <w:pPr>
        <w:pStyle w:val="2"/>
        <w:keepNext w:val="0"/>
        <w:keepLines w:val="0"/>
        <w:pageBreakBefore w:val="0"/>
        <w:widowControl w:val="0"/>
        <w:kinsoku/>
        <w:wordWrap/>
        <w:overflowPunct/>
        <w:topLinePunct w:val="0"/>
        <w:autoSpaceDE/>
        <w:autoSpaceDN/>
        <w:bidi w:val="0"/>
        <w:adjustRightInd/>
        <w:snapToGrid/>
        <w:spacing w:before="0" w:beforeAutospacing="0" w:after="0" w:line="560" w:lineRule="exact"/>
        <w:ind w:left="0" w:leftChars="0"/>
        <w:textAlignment w:val="auto"/>
        <w:rPr>
          <w:rFonts w:hint="default"/>
        </w:rPr>
      </w:pPr>
      <w:r>
        <w:rPr>
          <w:rFonts w:hint="eastAsia" w:ascii="仿宋_GB2312" w:hAnsi="仿宋_GB2312" w:eastAsia="仿宋_GB2312" w:cs="仿宋_GB2312"/>
          <w:color w:val="000000"/>
          <w:sz w:val="32"/>
          <w:szCs w:val="32"/>
        </w:rPr>
        <w:t>及时对上一年度财政绩效自评、监控和绩效评价发现的问题进行整改，建立完善长效管理机制，并将评价结果及整改应用情况，按照公开内容“非涉密、全公开”的原则，在岳阳市林业局门户网站和市政府网站同步实时公开，主动接受社会公众监督。</w:t>
      </w:r>
    </w:p>
    <w:p>
      <w:pPr>
        <w:keepNext w:val="0"/>
        <w:keepLines w:val="0"/>
        <w:pageBreakBefore w:val="0"/>
        <w:widowControl w:val="0"/>
        <w:kinsoku/>
        <w:wordWrap/>
        <w:overflowPunct/>
        <w:topLinePunct w:val="0"/>
        <w:autoSpaceDE/>
        <w:autoSpaceDN/>
        <w:bidi w:val="0"/>
        <w:adjustRightInd/>
        <w:snapToGrid/>
        <w:spacing w:afterLines="0" w:line="560" w:lineRule="exact"/>
        <w:ind w:right="0" w:rightChars="0" w:firstLine="640" w:firstLineChars="200"/>
        <w:jc w:val="both"/>
        <w:textAlignment w:val="auto"/>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其他需要说明的情况</w:t>
      </w:r>
      <w:r>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t>。无</w:t>
      </w: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pStyle w:val="2"/>
        <w:ind w:left="0" w:leftChars="0" w:firstLine="0" w:firstLineChars="0"/>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p>
      <w:pPr>
        <w:spacing w:after="120" w:afterLines="50" w:line="600" w:lineRule="exact"/>
        <w:jc w:val="both"/>
        <w:rPr>
          <w:rFonts w:hint="eastAsia" w:ascii="黑体" w:hAnsi="黑体" w:eastAsia="黑体" w:cs="黑体"/>
          <w:sz w:val="32"/>
          <w:szCs w:val="32"/>
          <w:highlight w:val="none"/>
          <w:lang w:eastAsia="zh-CN"/>
        </w:rPr>
      </w:pPr>
    </w:p>
    <w:p>
      <w:pPr>
        <w:spacing w:after="120" w:afterLines="50" w:line="600" w:lineRule="exact"/>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2</w:t>
      </w:r>
    </w:p>
    <w:p>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4</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6"/>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90</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78</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86.67%</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18</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33.52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24.68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14.02</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14.06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 xml:space="preserve">  13.42</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14.02</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14.06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 xml:space="preserve">  13.42</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7.54</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3.98</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9.46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3.72</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388.27</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36532.73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 xml:space="preserve"> 875.07</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388.27</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907.16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629.5</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both"/>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3、其他事业发展类资金</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35625.57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245.57</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228.69</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274.46</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207.93</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7.32</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　</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8</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22.13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kern w:val="0"/>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22.8</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21.33</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2.98</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kern w:val="0"/>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1.3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0.63</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kern w:val="0"/>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0"/>
                <w:szCs w:val="20"/>
                <w:highlight w:val="none"/>
                <w:lang w:val="en-US" w:eastAsia="zh-CN" w:bidi="ar-SA"/>
                <w14:textFill>
                  <w14:solidFill>
                    <w14:schemeClr w14:val="tx1"/>
                  </w14:solidFill>
                </w14:textFill>
              </w:rPr>
              <w:t>384.27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614.65</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4</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eastAsia="zh-CN"/>
              </w:rPr>
              <w:t>制定了财务管理制度等，严格支出管理</w:t>
            </w:r>
          </w:p>
        </w:tc>
      </w:tr>
    </w:tbl>
    <w:p>
      <w:pPr>
        <w:widowControl/>
        <w:spacing w:after="0" w:afterLines="0" w:line="400" w:lineRule="exact"/>
        <w:jc w:val="left"/>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6"/>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岳阳市林业局</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1775.8</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38546.14</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2803.45</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7.27%</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0.73</w:t>
            </w:r>
          </w:p>
        </w:tc>
      </w:tr>
      <w:tr>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38536.11</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1928.38</w:t>
            </w:r>
          </w:p>
        </w:tc>
      </w:tr>
      <w:tr>
        <w:tblPrEx>
          <w:tblCellMar>
            <w:top w:w="0" w:type="dxa"/>
            <w:left w:w="108" w:type="dxa"/>
            <w:bottom w:w="0" w:type="dxa"/>
            <w:right w:w="108" w:type="dxa"/>
          </w:tblCellMar>
        </w:tblPrEx>
        <w:trPr>
          <w:trHeight w:val="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w:t>
            </w:r>
            <w:r>
              <w:rPr>
                <w:rFonts w:hint="eastAsia" w:ascii="仿宋_GB2312" w:hAnsi="仿宋_GB2312" w:eastAsia="仿宋_GB2312" w:cs="仿宋_GB2312"/>
                <w:color w:val="000000"/>
                <w:sz w:val="20"/>
                <w:szCs w:val="20"/>
                <w:highlight w:val="none"/>
                <w:lang w:val="en-US" w:eastAsia="zh-CN"/>
              </w:rPr>
              <w:t>875.07</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其他资金：</w:t>
            </w:r>
            <w:r>
              <w:rPr>
                <w:rFonts w:hint="eastAsia" w:ascii="仿宋_GB2312" w:hAnsi="仿宋_GB2312" w:eastAsia="仿宋_GB2312" w:cs="仿宋_GB2312"/>
                <w:color w:val="000000"/>
                <w:sz w:val="20"/>
                <w:szCs w:val="20"/>
                <w:highlight w:val="none"/>
                <w:lang w:val="en-US" w:eastAsia="zh-CN"/>
              </w:rPr>
              <w:t>10.03</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完成营造林任务11.1万亩；2.完成省级生态廊道建设3000亩；3.加大森林防火基础设施建设，完成防火基础能力提升两年行动年度建设任务；4.森林火灾受害率控制在0.9‰以内，全年不发生重大及以上森林火灾；5.林业有害生物成灾率控制在23.62‰以内；6.林业无公害防治率达到85%以上；7.湿地保护率稳定在65.14%；8.持续开展自然保护地整合优化，按要求完成各类交办问题和目标任务。　</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完成营造林任务11.3万亩；2.完成省级生态廊道建设800亩；3.加大森林防火基础设施建设，完成防火基础能力提升两年行动年度建设任务；4.森林火灾受害率控制在0.9‰以内，全年不发生重大及以上森林火灾；5.林业有害生物成灾率控制在23.62‰以内；6.林业无公害防治率达到85%以上；7.湿地保护率</w:t>
            </w:r>
            <w:r>
              <w:rPr>
                <w:rFonts w:hint="eastAsia" w:ascii="仿宋_GB2312" w:hAnsi="仿宋_GB2312" w:eastAsia="仿宋_GB2312" w:cs="仿宋_GB2312"/>
                <w:color w:val="000000"/>
                <w:sz w:val="20"/>
                <w:szCs w:val="20"/>
                <w:highlight w:val="none"/>
                <w:lang w:val="en-US" w:eastAsia="zh-CN"/>
              </w:rPr>
              <w:t>67.27</w:t>
            </w:r>
            <w:r>
              <w:rPr>
                <w:rFonts w:hint="eastAsia" w:ascii="仿宋_GB2312" w:hAnsi="仿宋_GB2312" w:eastAsia="仿宋_GB2312" w:cs="仿宋_GB2312"/>
                <w:color w:val="000000"/>
                <w:sz w:val="20"/>
                <w:szCs w:val="20"/>
                <w:highlight w:val="none"/>
              </w:rPr>
              <w:t>%；8.持续开展自然保护地整合优化，按要求完成各类交办问题和目标任务。</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widowControl/>
              <w:spacing w:line="240" w:lineRule="exact"/>
              <w:jc w:val="center"/>
              <w:rPr>
                <w:rFonts w:hint="eastAsia" w:ascii="仿宋_GB2312" w:hAnsi="仿宋_GB2312" w:eastAsia="仿宋_GB2312" w:cs="仿宋_GB2312"/>
                <w:color w:val="000000"/>
                <w:sz w:val="20"/>
                <w:szCs w:val="20"/>
                <w:highlight w:val="none"/>
              </w:rPr>
            </w:pP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营造林任务</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11.1万亩</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11.3万亩</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年度指标值较年初报送有调整</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省级生态廊道建设</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3000亩</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800亩</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年度指标值较年初报送有调整</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林业有害生物成灾率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23.62‰</w:t>
            </w:r>
          </w:p>
        </w:tc>
        <w:tc>
          <w:tcPr>
            <w:tcW w:w="1269"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20</w:t>
            </w:r>
            <w:r>
              <w:rPr>
                <w:rFonts w:hint="eastAsia" w:ascii="仿宋_GB2312" w:hAnsi="仿宋_GB2312" w:eastAsia="仿宋_GB2312" w:cs="仿宋_GB2312"/>
                <w:color w:val="000000"/>
                <w:sz w:val="20"/>
                <w:szCs w:val="20"/>
                <w:highlight w:val="none"/>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林业无公害防治率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85%</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95.63%</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湿地保护率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65.14%</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6</w:t>
            </w:r>
            <w:r>
              <w:rPr>
                <w:rFonts w:hint="eastAsia" w:ascii="仿宋_GB2312" w:hAnsi="仿宋_GB2312" w:eastAsia="仿宋_GB2312" w:cs="仿宋_GB2312"/>
                <w:color w:val="000000"/>
                <w:sz w:val="20"/>
                <w:szCs w:val="20"/>
                <w:highlight w:val="none"/>
                <w:lang w:val="en-US" w:eastAsia="zh-CN"/>
              </w:rPr>
              <w:t>7.27</w:t>
            </w:r>
            <w:r>
              <w:rPr>
                <w:rFonts w:hint="eastAsia" w:ascii="仿宋_GB2312" w:hAnsi="仿宋_GB2312" w:eastAsia="仿宋_GB2312" w:cs="仿宋_GB2312"/>
                <w:color w:val="000000"/>
                <w:sz w:val="20"/>
                <w:szCs w:val="20"/>
                <w:highlight w:val="none"/>
              </w:rPr>
              <w:t>%</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推深做实林长制</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持续落实</w:t>
            </w:r>
          </w:p>
        </w:tc>
        <w:tc>
          <w:tcPr>
            <w:tcW w:w="1269"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持续落实</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森林资源监管</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持续完成</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持续完成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全年成本控制</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≤全年预算</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≤全年预算</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对社会发展有负面影响</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无负面影响</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无负面影响</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对生态环境有负面影响</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无负面影响</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无负面影响</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widowControl/>
              <w:spacing w:line="240" w:lineRule="exact"/>
              <w:jc w:val="left"/>
              <w:rPr>
                <w:rFonts w:hint="eastAsia" w:ascii="仿宋_GB2312" w:hAnsi="仿宋_GB2312" w:eastAsia="仿宋_GB2312" w:cs="仿宋_GB2312"/>
                <w:color w:val="000000"/>
                <w:sz w:val="20"/>
                <w:szCs w:val="20"/>
                <w:highlight w:val="none"/>
              </w:rPr>
            </w:pP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不适用</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无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无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人民生产生活环境</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得到改善</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得到改善</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林区居民生命财产安全</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有效保障</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有效保障</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净化空气</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有效发挥</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有效发挥</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保持水土</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有效发挥</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有效发挥</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涵养水源</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有效发挥</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有效发挥</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4</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美化环境</w:t>
            </w:r>
          </w:p>
        </w:tc>
        <w:tc>
          <w:tcPr>
            <w:tcW w:w="1311"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有效发挥</w:t>
            </w:r>
          </w:p>
        </w:tc>
        <w:tc>
          <w:tcPr>
            <w:tcW w:w="1269"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有效发挥</w:t>
            </w:r>
          </w:p>
        </w:tc>
        <w:tc>
          <w:tcPr>
            <w:tcW w:w="716"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持续发挥生态作用</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明显</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明显</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林区群众满意率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90%以上</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90%以上</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90.73</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pStyle w:val="2"/>
        <w:ind w:left="0" w:leftChars="0" w:firstLine="0" w:firstLineChars="0"/>
        <w:rPr>
          <w:rFonts w:hint="eastAsia" w:ascii="Times New Roman" w:hAnsi="Times New Roman" w:eastAsia="黑体" w:cs="Times New Roman"/>
          <w:color w:val="000000" w:themeColor="text1"/>
          <w:sz w:val="32"/>
          <w:szCs w:val="32"/>
          <w:highlight w:val="none"/>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7A"/>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yNTM2ZTNkYzRlNjQxMDkzYmY3OWJhZDY3ZTJkMWYifQ=="/>
  </w:docVars>
  <w:rsids>
    <w:rsidRoot w:val="59886344"/>
    <w:rsid w:val="005917D3"/>
    <w:rsid w:val="00DC7C1D"/>
    <w:rsid w:val="012A4E2C"/>
    <w:rsid w:val="01874979"/>
    <w:rsid w:val="01BA61B0"/>
    <w:rsid w:val="029B0168"/>
    <w:rsid w:val="037E6D6A"/>
    <w:rsid w:val="03A2514E"/>
    <w:rsid w:val="051756C8"/>
    <w:rsid w:val="05290F57"/>
    <w:rsid w:val="05595CE0"/>
    <w:rsid w:val="06277B8D"/>
    <w:rsid w:val="064249C6"/>
    <w:rsid w:val="069B5E85"/>
    <w:rsid w:val="06F2019A"/>
    <w:rsid w:val="07097292"/>
    <w:rsid w:val="07195727"/>
    <w:rsid w:val="082219A2"/>
    <w:rsid w:val="08A07782"/>
    <w:rsid w:val="0ADB7197"/>
    <w:rsid w:val="0BE01DA1"/>
    <w:rsid w:val="0C0F70F9"/>
    <w:rsid w:val="0C216E2C"/>
    <w:rsid w:val="0CF4642C"/>
    <w:rsid w:val="0CFD51A3"/>
    <w:rsid w:val="0D336E17"/>
    <w:rsid w:val="0D696CDD"/>
    <w:rsid w:val="0D6D057B"/>
    <w:rsid w:val="0F7756E1"/>
    <w:rsid w:val="0FDED9A4"/>
    <w:rsid w:val="10047B2F"/>
    <w:rsid w:val="101C36AC"/>
    <w:rsid w:val="10CF50A9"/>
    <w:rsid w:val="10EA5A3E"/>
    <w:rsid w:val="12597320"/>
    <w:rsid w:val="12CC5D44"/>
    <w:rsid w:val="12ED5CBA"/>
    <w:rsid w:val="13EB21F9"/>
    <w:rsid w:val="146A5814"/>
    <w:rsid w:val="149208C7"/>
    <w:rsid w:val="160457F4"/>
    <w:rsid w:val="162E2871"/>
    <w:rsid w:val="17263548"/>
    <w:rsid w:val="177D585E"/>
    <w:rsid w:val="181D2B9D"/>
    <w:rsid w:val="182E4DAB"/>
    <w:rsid w:val="18B232E6"/>
    <w:rsid w:val="1917583F"/>
    <w:rsid w:val="195C5947"/>
    <w:rsid w:val="1AC75042"/>
    <w:rsid w:val="1B8A679C"/>
    <w:rsid w:val="1BE22134"/>
    <w:rsid w:val="1BEB0073"/>
    <w:rsid w:val="1C76E63A"/>
    <w:rsid w:val="1CEBBBA7"/>
    <w:rsid w:val="1DC51D0D"/>
    <w:rsid w:val="1E116D00"/>
    <w:rsid w:val="1E652BA8"/>
    <w:rsid w:val="1E672DC4"/>
    <w:rsid w:val="1E707ECB"/>
    <w:rsid w:val="1F6115C2"/>
    <w:rsid w:val="1FBE6A14"/>
    <w:rsid w:val="1FF94423"/>
    <w:rsid w:val="20140D2A"/>
    <w:rsid w:val="202C6073"/>
    <w:rsid w:val="211F7986"/>
    <w:rsid w:val="21BC51D5"/>
    <w:rsid w:val="21CB366A"/>
    <w:rsid w:val="220A23E4"/>
    <w:rsid w:val="23580F2E"/>
    <w:rsid w:val="242332EA"/>
    <w:rsid w:val="24BE74B6"/>
    <w:rsid w:val="25ED1E01"/>
    <w:rsid w:val="260158AC"/>
    <w:rsid w:val="260D5FFF"/>
    <w:rsid w:val="27554102"/>
    <w:rsid w:val="277534C1"/>
    <w:rsid w:val="27E7DED2"/>
    <w:rsid w:val="292518B2"/>
    <w:rsid w:val="29657F00"/>
    <w:rsid w:val="2B7B9D5C"/>
    <w:rsid w:val="2B7D59D5"/>
    <w:rsid w:val="2C8C39F6"/>
    <w:rsid w:val="2D76092E"/>
    <w:rsid w:val="2DD607D3"/>
    <w:rsid w:val="2EF93197"/>
    <w:rsid w:val="2F766AF7"/>
    <w:rsid w:val="2F7D2448"/>
    <w:rsid w:val="2F8D6403"/>
    <w:rsid w:val="2FE04785"/>
    <w:rsid w:val="300F506A"/>
    <w:rsid w:val="308F646A"/>
    <w:rsid w:val="30B11C7D"/>
    <w:rsid w:val="30C9346B"/>
    <w:rsid w:val="30FBEDDF"/>
    <w:rsid w:val="32625925"/>
    <w:rsid w:val="32CC7242"/>
    <w:rsid w:val="32F8208B"/>
    <w:rsid w:val="33095DA0"/>
    <w:rsid w:val="33E12879"/>
    <w:rsid w:val="34DD1293"/>
    <w:rsid w:val="36413AA3"/>
    <w:rsid w:val="3647730B"/>
    <w:rsid w:val="36DF9456"/>
    <w:rsid w:val="36FF1AB2"/>
    <w:rsid w:val="374B4BD9"/>
    <w:rsid w:val="37CE5791"/>
    <w:rsid w:val="38AC16A8"/>
    <w:rsid w:val="39FBE6F9"/>
    <w:rsid w:val="3A836438"/>
    <w:rsid w:val="3AF47336"/>
    <w:rsid w:val="3B5D3381"/>
    <w:rsid w:val="3C3D6ABB"/>
    <w:rsid w:val="3C7E335B"/>
    <w:rsid w:val="3CCB2319"/>
    <w:rsid w:val="3D324146"/>
    <w:rsid w:val="3DB62B24"/>
    <w:rsid w:val="3DC079A3"/>
    <w:rsid w:val="3E6FC505"/>
    <w:rsid w:val="3EE31B9B"/>
    <w:rsid w:val="3EE6168C"/>
    <w:rsid w:val="3F0044FB"/>
    <w:rsid w:val="3F971B2D"/>
    <w:rsid w:val="3F9BEC33"/>
    <w:rsid w:val="3FDE1446"/>
    <w:rsid w:val="402661E4"/>
    <w:rsid w:val="41270465"/>
    <w:rsid w:val="412C5A7C"/>
    <w:rsid w:val="41F30347"/>
    <w:rsid w:val="4226071D"/>
    <w:rsid w:val="43016A94"/>
    <w:rsid w:val="43574906"/>
    <w:rsid w:val="43A22025"/>
    <w:rsid w:val="44315157"/>
    <w:rsid w:val="453E332B"/>
    <w:rsid w:val="463A4797"/>
    <w:rsid w:val="46454EEA"/>
    <w:rsid w:val="46AE0CE1"/>
    <w:rsid w:val="47653A95"/>
    <w:rsid w:val="4851401A"/>
    <w:rsid w:val="494B0A69"/>
    <w:rsid w:val="49535B70"/>
    <w:rsid w:val="4B026900"/>
    <w:rsid w:val="4B7F784E"/>
    <w:rsid w:val="4B971D44"/>
    <w:rsid w:val="4BA44460"/>
    <w:rsid w:val="4C080E93"/>
    <w:rsid w:val="4CE70AA9"/>
    <w:rsid w:val="4CE865CF"/>
    <w:rsid w:val="4D901140"/>
    <w:rsid w:val="4DB50BA7"/>
    <w:rsid w:val="4E765A9E"/>
    <w:rsid w:val="4ED92673"/>
    <w:rsid w:val="4FFD107C"/>
    <w:rsid w:val="5017429F"/>
    <w:rsid w:val="502838B2"/>
    <w:rsid w:val="51273B6A"/>
    <w:rsid w:val="518F170F"/>
    <w:rsid w:val="52FC308C"/>
    <w:rsid w:val="5334256E"/>
    <w:rsid w:val="53F721E1"/>
    <w:rsid w:val="55FF668A"/>
    <w:rsid w:val="572648C3"/>
    <w:rsid w:val="57471D65"/>
    <w:rsid w:val="576D24F2"/>
    <w:rsid w:val="5774562F"/>
    <w:rsid w:val="57995095"/>
    <w:rsid w:val="57D45B2D"/>
    <w:rsid w:val="58975A79"/>
    <w:rsid w:val="59886344"/>
    <w:rsid w:val="59B44408"/>
    <w:rsid w:val="5ADF7263"/>
    <w:rsid w:val="5B85C05A"/>
    <w:rsid w:val="5BAAC7DF"/>
    <w:rsid w:val="5BFF8EB3"/>
    <w:rsid w:val="5C4C0928"/>
    <w:rsid w:val="5CAC586B"/>
    <w:rsid w:val="5CBF734C"/>
    <w:rsid w:val="5DB04EE7"/>
    <w:rsid w:val="5DB26EB1"/>
    <w:rsid w:val="5DE057CC"/>
    <w:rsid w:val="5E323B4E"/>
    <w:rsid w:val="5E587A58"/>
    <w:rsid w:val="5E7F65EC"/>
    <w:rsid w:val="5EBF7B26"/>
    <w:rsid w:val="5EF552A7"/>
    <w:rsid w:val="5EF7A007"/>
    <w:rsid w:val="5F8A1E93"/>
    <w:rsid w:val="5FA4497F"/>
    <w:rsid w:val="5FDF8D7B"/>
    <w:rsid w:val="5FDFD0E4"/>
    <w:rsid w:val="5FFF48C9"/>
    <w:rsid w:val="604C0EF7"/>
    <w:rsid w:val="60956D42"/>
    <w:rsid w:val="61534507"/>
    <w:rsid w:val="61DE64C6"/>
    <w:rsid w:val="625B3673"/>
    <w:rsid w:val="625F3713"/>
    <w:rsid w:val="632E0D88"/>
    <w:rsid w:val="63302D52"/>
    <w:rsid w:val="6344708E"/>
    <w:rsid w:val="63AF7350"/>
    <w:rsid w:val="63D66AFC"/>
    <w:rsid w:val="63F61158"/>
    <w:rsid w:val="645B2050"/>
    <w:rsid w:val="64F63B27"/>
    <w:rsid w:val="652A37D1"/>
    <w:rsid w:val="6554084E"/>
    <w:rsid w:val="65D718CD"/>
    <w:rsid w:val="66442670"/>
    <w:rsid w:val="679D4D44"/>
    <w:rsid w:val="69196036"/>
    <w:rsid w:val="692073C4"/>
    <w:rsid w:val="695A0B28"/>
    <w:rsid w:val="6A050368"/>
    <w:rsid w:val="6A114F5F"/>
    <w:rsid w:val="6A7E64EF"/>
    <w:rsid w:val="6ABE0C43"/>
    <w:rsid w:val="6AEB57B0"/>
    <w:rsid w:val="6C472EBA"/>
    <w:rsid w:val="6CBF0DF2"/>
    <w:rsid w:val="6CEC0920"/>
    <w:rsid w:val="6CFFB1CB"/>
    <w:rsid w:val="6D686AB5"/>
    <w:rsid w:val="6DDD3AD6"/>
    <w:rsid w:val="6DEF6DC8"/>
    <w:rsid w:val="6DF93871"/>
    <w:rsid w:val="6EC30F1E"/>
    <w:rsid w:val="6F2CDA02"/>
    <w:rsid w:val="6F783CA1"/>
    <w:rsid w:val="6FBE531F"/>
    <w:rsid w:val="6FE56C72"/>
    <w:rsid w:val="6FF74CFF"/>
    <w:rsid w:val="6FFA5BFB"/>
    <w:rsid w:val="703B4AE4"/>
    <w:rsid w:val="71A566B9"/>
    <w:rsid w:val="72113283"/>
    <w:rsid w:val="72646574"/>
    <w:rsid w:val="73A56E44"/>
    <w:rsid w:val="73CA8E4B"/>
    <w:rsid w:val="7564688B"/>
    <w:rsid w:val="757FB4C3"/>
    <w:rsid w:val="75F714AD"/>
    <w:rsid w:val="767F9521"/>
    <w:rsid w:val="76FF68AF"/>
    <w:rsid w:val="77378FB3"/>
    <w:rsid w:val="7756431B"/>
    <w:rsid w:val="777FFE11"/>
    <w:rsid w:val="77BDC068"/>
    <w:rsid w:val="77CD4756"/>
    <w:rsid w:val="77CD4BBB"/>
    <w:rsid w:val="77E7A616"/>
    <w:rsid w:val="77EFC449"/>
    <w:rsid w:val="77F35CA4"/>
    <w:rsid w:val="78994A9D"/>
    <w:rsid w:val="78DF70BE"/>
    <w:rsid w:val="796E1A86"/>
    <w:rsid w:val="79D78B24"/>
    <w:rsid w:val="79EF22BF"/>
    <w:rsid w:val="7A3E58FC"/>
    <w:rsid w:val="7A682979"/>
    <w:rsid w:val="7A792DD8"/>
    <w:rsid w:val="7A7F85C6"/>
    <w:rsid w:val="7A903C7E"/>
    <w:rsid w:val="7AF7367C"/>
    <w:rsid w:val="7AF7B76B"/>
    <w:rsid w:val="7B7F7C23"/>
    <w:rsid w:val="7BBBB329"/>
    <w:rsid w:val="7BBF6701"/>
    <w:rsid w:val="7BD174FC"/>
    <w:rsid w:val="7BE81FC4"/>
    <w:rsid w:val="7BFB485C"/>
    <w:rsid w:val="7BFD5471"/>
    <w:rsid w:val="7C16FB83"/>
    <w:rsid w:val="7C730AFB"/>
    <w:rsid w:val="7CB70C34"/>
    <w:rsid w:val="7CE3278B"/>
    <w:rsid w:val="7CF404F4"/>
    <w:rsid w:val="7DC1735A"/>
    <w:rsid w:val="7DDF8BC5"/>
    <w:rsid w:val="7DF316F5"/>
    <w:rsid w:val="7DF38693"/>
    <w:rsid w:val="7DFB761A"/>
    <w:rsid w:val="7E6F3F59"/>
    <w:rsid w:val="7E7BD7A6"/>
    <w:rsid w:val="7EBA751C"/>
    <w:rsid w:val="7EFED691"/>
    <w:rsid w:val="7EFFBE9D"/>
    <w:rsid w:val="7F1DA9CE"/>
    <w:rsid w:val="7F51322A"/>
    <w:rsid w:val="7F58A8AE"/>
    <w:rsid w:val="7F7F7885"/>
    <w:rsid w:val="7F9CB075"/>
    <w:rsid w:val="7FCA378E"/>
    <w:rsid w:val="7FDDACBD"/>
    <w:rsid w:val="7FFB5493"/>
    <w:rsid w:val="7FFF9A9C"/>
    <w:rsid w:val="7FFFC86C"/>
    <w:rsid w:val="7FFFE90B"/>
    <w:rsid w:val="89EFC6AD"/>
    <w:rsid w:val="8DBE21FE"/>
    <w:rsid w:val="8F5D302A"/>
    <w:rsid w:val="8FBAA3C6"/>
    <w:rsid w:val="96BB4914"/>
    <w:rsid w:val="9AFF527E"/>
    <w:rsid w:val="9BFFB37C"/>
    <w:rsid w:val="9F7D2314"/>
    <w:rsid w:val="9FBD5C6F"/>
    <w:rsid w:val="ADFF566B"/>
    <w:rsid w:val="AF6B1094"/>
    <w:rsid w:val="B77D648F"/>
    <w:rsid w:val="B9ED7422"/>
    <w:rsid w:val="BB7E5D62"/>
    <w:rsid w:val="BD7DEC21"/>
    <w:rsid w:val="BD9D99D0"/>
    <w:rsid w:val="BE5F9647"/>
    <w:rsid w:val="BEF37AEE"/>
    <w:rsid w:val="BFCDF326"/>
    <w:rsid w:val="BFFA1A6A"/>
    <w:rsid w:val="BFFEB929"/>
    <w:rsid w:val="C3FF1388"/>
    <w:rsid w:val="C5DF4055"/>
    <w:rsid w:val="CBFAE693"/>
    <w:rsid w:val="CCB7CED3"/>
    <w:rsid w:val="CCDFA9CE"/>
    <w:rsid w:val="CE4B8AB4"/>
    <w:rsid w:val="CFAEE8EB"/>
    <w:rsid w:val="D2FB9EDF"/>
    <w:rsid w:val="D5D7061D"/>
    <w:rsid w:val="D5D75F02"/>
    <w:rsid w:val="D7BFED4F"/>
    <w:rsid w:val="DC6AF314"/>
    <w:rsid w:val="DD6FCE71"/>
    <w:rsid w:val="DEEE08F7"/>
    <w:rsid w:val="DEEE998F"/>
    <w:rsid w:val="DF3FD6A8"/>
    <w:rsid w:val="DF79AE8B"/>
    <w:rsid w:val="DF966260"/>
    <w:rsid w:val="DFA7EFCF"/>
    <w:rsid w:val="DFBCB780"/>
    <w:rsid w:val="DFEF884A"/>
    <w:rsid w:val="DFFBE05D"/>
    <w:rsid w:val="E19DC930"/>
    <w:rsid w:val="E3FC870C"/>
    <w:rsid w:val="E5FCE5CC"/>
    <w:rsid w:val="E6167869"/>
    <w:rsid w:val="E7195EAD"/>
    <w:rsid w:val="EA1F70AC"/>
    <w:rsid w:val="EBC747F5"/>
    <w:rsid w:val="EBD3D2B9"/>
    <w:rsid w:val="EBE804DC"/>
    <w:rsid w:val="EBF24FEC"/>
    <w:rsid w:val="EDFE4DB3"/>
    <w:rsid w:val="EDFFCFF7"/>
    <w:rsid w:val="EEBF5992"/>
    <w:rsid w:val="F1FFF0B1"/>
    <w:rsid w:val="F2F599E8"/>
    <w:rsid w:val="F6EF2968"/>
    <w:rsid w:val="F70FEB8B"/>
    <w:rsid w:val="F71AC5A9"/>
    <w:rsid w:val="F76F8460"/>
    <w:rsid w:val="F7973350"/>
    <w:rsid w:val="F7FF86EF"/>
    <w:rsid w:val="F9EF5FF6"/>
    <w:rsid w:val="FA4F3D38"/>
    <w:rsid w:val="FABF16A1"/>
    <w:rsid w:val="FACBF935"/>
    <w:rsid w:val="FAFF5057"/>
    <w:rsid w:val="FBF107DA"/>
    <w:rsid w:val="FCF7D231"/>
    <w:rsid w:val="FCFFAB38"/>
    <w:rsid w:val="FD3D15E6"/>
    <w:rsid w:val="FDB7D42E"/>
    <w:rsid w:val="FDEA56DA"/>
    <w:rsid w:val="FDFF21D9"/>
    <w:rsid w:val="FE9FF4AE"/>
    <w:rsid w:val="FEDF3137"/>
    <w:rsid w:val="FEFB6312"/>
    <w:rsid w:val="FF1AC94F"/>
    <w:rsid w:val="FF37DD87"/>
    <w:rsid w:val="FF7E0EED"/>
    <w:rsid w:val="FF9A599E"/>
    <w:rsid w:val="FFD5AD82"/>
    <w:rsid w:val="FFF3734E"/>
    <w:rsid w:val="FFF7919D"/>
    <w:rsid w:val="FFFDB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spacing w:before="100" w:beforeAutospacing="1"/>
      <w:ind w:firstLine="420" w:firstLineChars="200"/>
    </w:pPr>
    <w:rPr>
      <w:rFonts w:ascii="Times New Roman" w:hAnsi="Times New Roman" w:eastAsia="宋体" w:cs="Times New Roman"/>
      <w:szCs w:val="21"/>
    </w:rPr>
  </w:style>
  <w:style w:type="paragraph" w:styleId="3">
    <w:name w:val="Body Text Indent"/>
    <w:basedOn w:val="1"/>
    <w:unhideWhenUsed/>
    <w:qFormat/>
    <w:uiPriority w:val="99"/>
    <w:pPr>
      <w:spacing w:after="120"/>
      <w:ind w:left="420" w:leftChars="200"/>
    </w:p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toc 5"/>
    <w:basedOn w:val="1"/>
    <w:next w:val="1"/>
    <w:qFormat/>
    <w:uiPriority w:val="0"/>
    <w:pPr>
      <w:ind w:left="1680" w:leftChars="800"/>
    </w:pPr>
  </w:style>
  <w:style w:type="paragraph" w:customStyle="1" w:styleId="8">
    <w:name w:val="列出段落1"/>
    <w:basedOn w:val="1"/>
    <w:qFormat/>
    <w:uiPriority w:val="34"/>
    <w:pPr>
      <w:ind w:firstLine="420" w:firstLineChars="200"/>
    </w:pPr>
  </w:style>
  <w:style w:type="paragraph" w:styleId="9">
    <w:name w:val="List Paragraph"/>
    <w:basedOn w:val="1"/>
    <w:qFormat/>
    <w:uiPriority w:val="99"/>
    <w:pPr>
      <w:ind w:firstLine="420" w:firstLineChars="200"/>
    </w:pPr>
    <w:rPr>
      <w:rFonts w:ascii="Calibri" w:hAnsi="Calibri"/>
      <w:szCs w:val="22"/>
    </w:rPr>
  </w:style>
  <w:style w:type="paragraph" w:customStyle="1" w:styleId="10">
    <w:name w:val="样式 正文文本缩进 + 仿宋_GB2312 黑色"/>
    <w:next w:val="1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1">
    <w:name w:val="_Style 2"/>
    <w:qFormat/>
    <w:uiPriority w:val="34"/>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3541</Words>
  <Characters>3986</Characters>
  <Lines>0</Lines>
  <Paragraphs>0</Paragraphs>
  <TotalTime>0</TotalTime>
  <ScaleCrop>false</ScaleCrop>
  <LinksUpToDate>false</LinksUpToDate>
  <CharactersWithSpaces>4748</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2024-03-22T00:36:00Z</dcterms:created>
  <dc:creator>Administrator</dc:creator>
  <cp:lastModifiedBy>yyadmin</cp:lastModifiedBy>
  <dcterms:modified xsi:type="dcterms:W3CDTF">2025-07-23T15:19:36Z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6182D3A10D564617983F46DEE354AEAF</vt:lpwstr>
  </property>
</Properties>
</file>