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rPr>
          <w:rFonts w:hint="default" w:ascii="Times New Roman" w:eastAsia="Times New Roman"/>
          <w:color w:val="auto"/>
          <w:sz w:val="2"/>
          <w:szCs w:val="24"/>
        </w:rPr>
      </w:pPr>
      <w:bookmarkStart w:id="0" w:name="_GoBack"/>
      <w:bookmarkEnd w:id="0"/>
    </w:p>
    <w:tbl>
      <w:tblPr>
        <w:tblStyle w:val="8"/>
        <w:tblW w:w="153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9581"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1110" w:lineRule="exact"/>
              <w:ind w:left="20"/>
              <w:jc w:val="center"/>
              <w:rPr>
                <w:rFonts w:hint="default" w:ascii="微软雅黑" w:hAnsi="Times New Roman" w:eastAsia="微软雅黑"/>
                <w:b/>
                <w:sz w:val="84"/>
                <w:szCs w:val="24"/>
              </w:rPr>
            </w:pPr>
            <w:r>
              <w:rPr>
                <w:rFonts w:hint="default" w:ascii="微软雅黑" w:hAnsi="Times New Roman" w:eastAsia="微软雅黑"/>
                <w:b/>
                <w:sz w:val="84"/>
                <w:szCs w:val="24"/>
              </w:rPr>
              <w:t>岳阳市科学技术局2025年度</w:t>
            </w:r>
          </w:p>
          <w:p>
            <w:pPr>
              <w:spacing w:beforeLines="0" w:afterLines="0" w:line="1110" w:lineRule="exact"/>
              <w:ind w:left="20"/>
              <w:jc w:val="center"/>
              <w:rPr>
                <w:rFonts w:hint="default" w:ascii="微软雅黑" w:hAnsi="Times New Roman" w:eastAsia="微软雅黑"/>
                <w:sz w:val="84"/>
                <w:szCs w:val="24"/>
              </w:rPr>
            </w:pPr>
            <w:r>
              <w:rPr>
                <w:rFonts w:hint="default" w:ascii="微软雅黑" w:hAnsi="Times New Roman" w:eastAsia="微软雅黑"/>
                <w:b/>
                <w:sz w:val="84"/>
                <w:szCs w:val="24"/>
              </w:rPr>
              <w:t>部门预算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442"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525" w:lineRule="exact"/>
              <w:ind w:left="20"/>
              <w:jc w:val="center"/>
              <w:rPr>
                <w:rFonts w:hint="default" w:ascii="Dialog" w:hAnsi="Times New Roman"/>
                <w:sz w:val="44"/>
                <w:szCs w:val="24"/>
              </w:rPr>
            </w:pPr>
            <w:r>
              <w:rPr>
                <w:rFonts w:hint="eastAsia" w:ascii="Dialog" w:hAnsi="Times New Roman"/>
                <w:sz w:val="44"/>
                <w:szCs w:val="24"/>
              </w:rPr>
              <w:t>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182" w:hRule="atLeast"/>
        </w:trPr>
        <w:tc>
          <w:tcPr>
            <w:tcW w:w="15306"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ascii="Times New Roman" w:eastAsia="Times New Roman"/>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default" w:ascii="Dialog" w:hAnsi="Times New Roman"/>
                <w:sz w:val="32"/>
                <w:szCs w:val="24"/>
              </w:rPr>
            </w:pPr>
            <w:r>
              <w:rPr>
                <w:rFonts w:hint="eastAsia" w:ascii="Dialog" w:hAnsi="Times New Roman"/>
                <w:sz w:val="32"/>
                <w:szCs w:val="24"/>
              </w:rPr>
              <w:t>第一部分  2025年部门预算说明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default" w:ascii="Dialog" w:hAnsi="Times New Roman"/>
                <w:sz w:val="32"/>
                <w:szCs w:val="24"/>
              </w:rPr>
            </w:pPr>
            <w:r>
              <w:rPr>
                <w:rFonts w:hint="eastAsia" w:ascii="Dialog" w:hAnsi="Times New Roman"/>
                <w:sz w:val="32"/>
                <w:szCs w:val="24"/>
              </w:rPr>
              <w:t>第二部分  2025年部门预算公开表格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default" w:ascii="Dialog" w:hAnsi="Times New Roman"/>
                <w:sz w:val="32"/>
                <w:szCs w:val="24"/>
              </w:rPr>
            </w:pPr>
            <w:r>
              <w:rPr>
                <w:rFonts w:hint="eastAsia" w:ascii="Dialog" w:hAnsi="Times New Roman"/>
                <w:sz w:val="32"/>
                <w:szCs w:val="24"/>
              </w:rPr>
              <w:t>1、收支总表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default" w:ascii="Dialog" w:hAnsi="Times New Roman"/>
                <w:sz w:val="32"/>
                <w:szCs w:val="24"/>
              </w:rPr>
            </w:pPr>
            <w:r>
              <w:rPr>
                <w:rFonts w:hint="eastAsia" w:ascii="Dialog" w:hAnsi="Times New Roman"/>
                <w:sz w:val="32"/>
                <w:szCs w:val="24"/>
              </w:rPr>
              <w:t>2、收入总表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default" w:ascii="Dialog" w:hAnsi="Times New Roman"/>
                <w:sz w:val="32"/>
                <w:szCs w:val="24"/>
              </w:rPr>
            </w:pPr>
            <w:r>
              <w:rPr>
                <w:rFonts w:hint="eastAsia" w:ascii="Dialog" w:hAnsi="Times New Roman"/>
                <w:sz w:val="32"/>
                <w:szCs w:val="24"/>
              </w:rPr>
              <w:t>3、支出总表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default" w:ascii="Dialog" w:hAnsi="Times New Roman"/>
                <w:sz w:val="32"/>
                <w:szCs w:val="24"/>
              </w:rPr>
            </w:pPr>
            <w:r>
              <w:rPr>
                <w:rFonts w:hint="eastAsia" w:ascii="Dialog" w:hAnsi="Times New Roman"/>
                <w:sz w:val="32"/>
                <w:szCs w:val="24"/>
              </w:rPr>
              <w:t>4、支出预算分类汇总表（按政府预算经济分类）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default" w:ascii="Dialog" w:hAnsi="Times New Roman"/>
                <w:sz w:val="32"/>
                <w:szCs w:val="24"/>
              </w:rPr>
            </w:pPr>
            <w:r>
              <w:rPr>
                <w:rFonts w:hint="eastAsia" w:ascii="Dialog" w:hAnsi="Times New Roman"/>
                <w:sz w:val="32"/>
                <w:szCs w:val="24"/>
              </w:rPr>
              <w:t>5、支出预算分类汇总表（按部门预算经济分类）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default" w:ascii="Dialog" w:hAnsi="Times New Roman"/>
                <w:sz w:val="32"/>
                <w:szCs w:val="24"/>
              </w:rPr>
            </w:pPr>
            <w:r>
              <w:rPr>
                <w:rFonts w:hint="eastAsia" w:ascii="Dialog" w:hAnsi="Times New Roman"/>
                <w:sz w:val="32"/>
                <w:szCs w:val="24"/>
              </w:rPr>
              <w:t>6、财政拨款收支总表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default" w:ascii="Dialog" w:hAnsi="Times New Roman"/>
                <w:sz w:val="32"/>
                <w:szCs w:val="24"/>
              </w:rPr>
            </w:pPr>
            <w:r>
              <w:rPr>
                <w:rFonts w:hint="eastAsia" w:ascii="Dialog" w:hAnsi="Times New Roman"/>
                <w:sz w:val="32"/>
                <w:szCs w:val="24"/>
              </w:rPr>
              <w:t>7、一般公共预算支出表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default" w:ascii="Dialog" w:hAnsi="Times New Roman"/>
                <w:sz w:val="32"/>
                <w:szCs w:val="24"/>
              </w:rPr>
            </w:pPr>
            <w:r>
              <w:rPr>
                <w:rFonts w:hint="eastAsia" w:ascii="Dialog" w:hAnsi="Times New Roman"/>
                <w:sz w:val="32"/>
                <w:szCs w:val="24"/>
              </w:rPr>
              <w:t>8、一般公共预算基本支出表</w:t>
            </w:r>
            <w:r>
              <w:rPr>
                <w:rFonts w:hint="default" w:ascii="Dialog" w:hAnsi="Times New Roman"/>
                <w:sz w:val="32"/>
                <w:szCs w:val="24"/>
              </w:rPr>
              <w:t>-</w:t>
            </w:r>
            <w:r>
              <w:rPr>
                <w:rFonts w:hint="eastAsia" w:ascii="Dialog" w:hAnsi="Times New Roman"/>
                <w:sz w:val="32"/>
                <w:szCs w:val="24"/>
              </w:rPr>
              <w:t>人员经费（工资福利支出）（按政府预算经济分类）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default" w:ascii="Dialog" w:hAnsi="Times New Roman"/>
                <w:sz w:val="32"/>
                <w:szCs w:val="24"/>
              </w:rPr>
            </w:pPr>
            <w:r>
              <w:rPr>
                <w:rFonts w:hint="eastAsia" w:ascii="Dialog" w:hAnsi="Times New Roman"/>
                <w:sz w:val="32"/>
                <w:szCs w:val="24"/>
              </w:rPr>
              <w:t>9、一般公共预算基本支出表</w:t>
            </w:r>
            <w:r>
              <w:rPr>
                <w:rFonts w:hint="default" w:ascii="Dialog" w:hAnsi="Times New Roman"/>
                <w:sz w:val="32"/>
                <w:szCs w:val="24"/>
              </w:rPr>
              <w:t>-</w:t>
            </w:r>
            <w:r>
              <w:rPr>
                <w:rFonts w:hint="eastAsia" w:ascii="Dialog" w:hAnsi="Times New Roman"/>
                <w:sz w:val="32"/>
                <w:szCs w:val="24"/>
              </w:rPr>
              <w:t>人员经费（工资福利支出）（按部门预算经济分类）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default" w:ascii="Dialog" w:hAnsi="Times New Roman"/>
                <w:sz w:val="32"/>
                <w:szCs w:val="24"/>
              </w:rPr>
            </w:pPr>
            <w:r>
              <w:rPr>
                <w:rFonts w:hint="eastAsia" w:ascii="Dialog" w:hAnsi="Times New Roman"/>
                <w:sz w:val="32"/>
                <w:szCs w:val="24"/>
              </w:rPr>
              <w:t>10、一般公共预算基本支出表</w:t>
            </w:r>
            <w:r>
              <w:rPr>
                <w:rFonts w:hint="default" w:ascii="Dialog" w:hAnsi="Times New Roman"/>
                <w:sz w:val="32"/>
                <w:szCs w:val="24"/>
              </w:rPr>
              <w:t>-</w:t>
            </w:r>
            <w:r>
              <w:rPr>
                <w:rFonts w:hint="eastAsia" w:ascii="Dialog" w:hAnsi="Times New Roman"/>
                <w:sz w:val="32"/>
                <w:szCs w:val="24"/>
              </w:rPr>
              <w:t>人员经费（对个人和家庭的补助）（按政府预算经济分类）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default" w:ascii="Dialog" w:hAnsi="Times New Roman"/>
                <w:sz w:val="32"/>
                <w:szCs w:val="24"/>
              </w:rPr>
            </w:pPr>
            <w:r>
              <w:rPr>
                <w:rFonts w:hint="eastAsia" w:ascii="Dialog" w:hAnsi="Times New Roman"/>
                <w:sz w:val="32"/>
                <w:szCs w:val="24"/>
              </w:rPr>
              <w:t>11、一般公共预算基本支出表</w:t>
            </w:r>
            <w:r>
              <w:rPr>
                <w:rFonts w:hint="default" w:ascii="Dialog" w:hAnsi="Times New Roman"/>
                <w:sz w:val="32"/>
                <w:szCs w:val="24"/>
              </w:rPr>
              <w:t>-</w:t>
            </w:r>
            <w:r>
              <w:rPr>
                <w:rFonts w:hint="eastAsia" w:ascii="Dialog" w:hAnsi="Times New Roman"/>
                <w:sz w:val="32"/>
                <w:szCs w:val="24"/>
              </w:rPr>
              <w:t>人员经费（对个人和家庭的补助）（按部门预算经济分类）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default" w:ascii="Dialog" w:hAnsi="Times New Roman"/>
                <w:sz w:val="32"/>
                <w:szCs w:val="24"/>
              </w:rPr>
            </w:pPr>
            <w:r>
              <w:rPr>
                <w:rFonts w:hint="eastAsia" w:ascii="Dialog" w:hAnsi="Times New Roman"/>
                <w:sz w:val="32"/>
                <w:szCs w:val="24"/>
              </w:rPr>
              <w:t>12、一般公共预算基本支出表</w:t>
            </w:r>
            <w:r>
              <w:rPr>
                <w:rFonts w:hint="default" w:ascii="Dialog" w:hAnsi="Times New Roman"/>
                <w:sz w:val="32"/>
                <w:szCs w:val="24"/>
              </w:rPr>
              <w:t>-</w:t>
            </w:r>
            <w:r>
              <w:rPr>
                <w:rFonts w:hint="eastAsia" w:ascii="Dialog" w:hAnsi="Times New Roman"/>
                <w:sz w:val="32"/>
                <w:szCs w:val="24"/>
              </w:rPr>
              <w:t>公用经费（商品和服务支出）（按政府预算经济分类）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default" w:ascii="Dialog" w:hAnsi="Times New Roman"/>
                <w:sz w:val="32"/>
                <w:szCs w:val="24"/>
              </w:rPr>
            </w:pPr>
            <w:r>
              <w:rPr>
                <w:rFonts w:hint="eastAsia" w:ascii="Dialog" w:hAnsi="Times New Roman"/>
                <w:sz w:val="32"/>
                <w:szCs w:val="24"/>
              </w:rPr>
              <w:t>13、一般公共预算基本支出表</w:t>
            </w:r>
            <w:r>
              <w:rPr>
                <w:rFonts w:hint="default" w:ascii="Dialog" w:hAnsi="Times New Roman"/>
                <w:sz w:val="32"/>
                <w:szCs w:val="24"/>
              </w:rPr>
              <w:t>-</w:t>
            </w:r>
            <w:r>
              <w:rPr>
                <w:rFonts w:hint="eastAsia" w:ascii="Dialog" w:hAnsi="Times New Roman"/>
                <w:sz w:val="32"/>
                <w:szCs w:val="24"/>
              </w:rPr>
              <w:t>公用经费（商品和服务支出）（按部门预算经济分类）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default" w:ascii="Dialog" w:hAnsi="Times New Roman"/>
                <w:sz w:val="32"/>
                <w:szCs w:val="24"/>
              </w:rPr>
            </w:pPr>
            <w:r>
              <w:rPr>
                <w:rFonts w:hint="eastAsia" w:ascii="Dialog" w:hAnsi="Times New Roman"/>
                <w:sz w:val="32"/>
                <w:szCs w:val="24"/>
              </w:rPr>
              <w:t>14、一般公共预算“三公”经费支出表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default" w:ascii="Dialog" w:hAnsi="Times New Roman"/>
                <w:sz w:val="32"/>
                <w:szCs w:val="24"/>
              </w:rPr>
            </w:pPr>
            <w:r>
              <w:rPr>
                <w:rFonts w:hint="eastAsia" w:ascii="Dialog" w:hAnsi="Times New Roman"/>
                <w:sz w:val="32"/>
                <w:szCs w:val="24"/>
              </w:rPr>
              <w:t>15、政府性基金预算支出表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default" w:ascii="Dialog" w:hAnsi="Times New Roman"/>
                <w:sz w:val="32"/>
                <w:szCs w:val="24"/>
              </w:rPr>
            </w:pPr>
            <w:r>
              <w:rPr>
                <w:rFonts w:hint="eastAsia" w:ascii="Dialog" w:hAnsi="Times New Roman"/>
                <w:sz w:val="32"/>
                <w:szCs w:val="24"/>
              </w:rPr>
              <w:t>16、政府性基金预算支出分类汇总表（按政府预算经济分类）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default" w:ascii="Dialog" w:hAnsi="Times New Roman"/>
                <w:sz w:val="32"/>
                <w:szCs w:val="24"/>
              </w:rPr>
            </w:pPr>
            <w:r>
              <w:rPr>
                <w:rFonts w:hint="eastAsia" w:ascii="Dialog" w:hAnsi="Times New Roman"/>
                <w:sz w:val="32"/>
                <w:szCs w:val="24"/>
              </w:rPr>
              <w:t>17、政府性基金预算支出分类汇总表（按部门预算经济分类）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default" w:ascii="Dialog" w:hAnsi="Times New Roman"/>
                <w:sz w:val="32"/>
                <w:szCs w:val="24"/>
              </w:rPr>
            </w:pPr>
            <w:r>
              <w:rPr>
                <w:rFonts w:hint="eastAsia" w:ascii="Dialog" w:hAnsi="Times New Roman"/>
                <w:sz w:val="32"/>
                <w:szCs w:val="24"/>
              </w:rPr>
              <w:t>18、国有资本经营预算支出表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default" w:ascii="Dialog" w:hAnsi="Times New Roman"/>
                <w:sz w:val="32"/>
                <w:szCs w:val="24"/>
              </w:rPr>
            </w:pPr>
            <w:r>
              <w:rPr>
                <w:rFonts w:hint="eastAsia" w:ascii="Dialog" w:hAnsi="Times New Roman"/>
                <w:sz w:val="32"/>
                <w:szCs w:val="24"/>
              </w:rPr>
              <w:t>19、财政专户管理资金预算支出表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default" w:ascii="Dialog" w:hAnsi="Times New Roman"/>
                <w:sz w:val="32"/>
                <w:szCs w:val="24"/>
              </w:rPr>
            </w:pPr>
            <w:r>
              <w:rPr>
                <w:rFonts w:hint="eastAsia" w:ascii="Dialog" w:hAnsi="Times New Roman"/>
                <w:sz w:val="32"/>
                <w:szCs w:val="24"/>
              </w:rPr>
              <w:t>20、专项资金预算汇总表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default" w:ascii="Dialog" w:hAnsi="Times New Roman"/>
                <w:sz w:val="32"/>
                <w:szCs w:val="24"/>
              </w:rPr>
            </w:pPr>
            <w:r>
              <w:rPr>
                <w:rFonts w:hint="eastAsia" w:ascii="Dialog" w:hAnsi="Times New Roman"/>
                <w:sz w:val="32"/>
                <w:szCs w:val="24"/>
              </w:rPr>
              <w:t>21、项目支出绩效目标表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default" w:ascii="Dialog" w:hAnsi="Times New Roman"/>
                <w:sz w:val="32"/>
                <w:szCs w:val="24"/>
              </w:rPr>
            </w:pPr>
            <w:r>
              <w:rPr>
                <w:rFonts w:hint="eastAsia" w:ascii="Dialog" w:hAnsi="Times New Roman"/>
                <w:sz w:val="32"/>
                <w:szCs w:val="24"/>
              </w:rPr>
              <w:t>22、部门整体支出绩效目标表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default" w:ascii="Dialog" w:hAnsi="Times New Roman"/>
                <w:sz w:val="32"/>
                <w:szCs w:val="24"/>
              </w:rPr>
            </w:pPr>
            <w:r>
              <w:rPr>
                <w:rFonts w:hint="eastAsia" w:ascii="Dialog" w:hAnsi="Times New Roman"/>
                <w:sz w:val="32"/>
                <w:szCs w:val="24"/>
              </w:rPr>
              <w:t>23、一般公共预算基本支出表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default" w:ascii="Dialog" w:hAnsi="Times New Roman"/>
                <w:color w:val="FF0000"/>
                <w:sz w:val="32"/>
                <w:szCs w:val="24"/>
              </w:rPr>
            </w:pPr>
            <w:r>
              <w:rPr>
                <w:rFonts w:hint="eastAsia" w:ascii="Dialog" w:hAnsi="Times New Roman"/>
                <w:color w:val="FF0000"/>
                <w:sz w:val="32"/>
                <w:szCs w:val="24"/>
              </w:rPr>
              <w:t>注：以上部门预算公开报表中，空表表示本部门无相关收支情况。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82" w:hRule="atLeast"/>
        </w:trPr>
        <w:tc>
          <w:tcPr>
            <w:tcW w:w="15306"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ascii="Times New Roman" w:eastAsia="Times New Roman"/>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182" w:hRule="atLeast"/>
        </w:trPr>
        <w:tc>
          <w:tcPr>
            <w:tcW w:w="15306"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ascii="Times New Roman" w:eastAsia="Times New Roman"/>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jc w:val="center"/>
              <w:rPr>
                <w:rFonts w:hint="default" w:ascii="Dialog" w:hAnsi="Times New Roman"/>
                <w:sz w:val="32"/>
                <w:szCs w:val="24"/>
              </w:rPr>
            </w:pPr>
            <w:r>
              <w:rPr>
                <w:rFonts w:hint="eastAsia" w:ascii="Dialog" w:hAnsi="Times New Roman"/>
                <w:sz w:val="32"/>
                <w:szCs w:val="24"/>
              </w:rPr>
              <w:t>第一部分  2025年部门预算说明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182" w:hRule="atLeast"/>
        </w:trPr>
        <w:tc>
          <w:tcPr>
            <w:tcW w:w="15306"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ascii="Times New Roman" w:eastAsia="Times New Roman"/>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default" w:ascii="Dialog" w:hAnsi="Times New Roman"/>
                <w:sz w:val="32"/>
                <w:szCs w:val="24"/>
              </w:rPr>
            </w:pPr>
            <w:r>
              <w:rPr>
                <w:rFonts w:hint="eastAsia" w:ascii="Dialog" w:hAnsi="Times New Roman"/>
                <w:sz w:val="32"/>
                <w:szCs w:val="24"/>
              </w:rPr>
              <w:t xml:space="preserve">  一、部门基本概况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Times New Roman"/>
                <w:sz w:val="32"/>
                <w:szCs w:val="24"/>
              </w:rPr>
            </w:pPr>
            <w:r>
              <w:rPr>
                <w:rFonts w:hint="eastAsia" w:ascii="宋体" w:hAnsi="Times New Roman"/>
                <w:sz w:val="32"/>
                <w:szCs w:val="24"/>
              </w:rPr>
              <w:t xml:space="preserve">  （一）职能职责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firstLine="640" w:firstLineChars="200"/>
              <w:rPr>
                <w:rFonts w:hint="eastAsia" w:ascii="宋体" w:hAnsi="Times New Roman"/>
                <w:sz w:val="32"/>
                <w:szCs w:val="24"/>
              </w:rPr>
            </w:pPr>
            <w:r>
              <w:rPr>
                <w:rFonts w:hint="eastAsia" w:ascii="宋体" w:hAnsi="Times New Roman"/>
                <w:sz w:val="32"/>
                <w:szCs w:val="24"/>
              </w:rPr>
              <w:t>1、贯彻创新驱动发展战略和创新引领开放崛起战略，拟订全市科技发展、引进国外及国内智力规划和政策并组织实施。</w:t>
            </w:r>
          </w:p>
          <w:p>
            <w:pPr>
              <w:spacing w:beforeLines="0" w:afterLines="0" w:line="375" w:lineRule="exact"/>
              <w:ind w:left="20" w:firstLine="640" w:firstLineChars="200"/>
              <w:rPr>
                <w:rFonts w:hint="eastAsia" w:ascii="宋体" w:hAnsi="Times New Roman"/>
                <w:sz w:val="32"/>
                <w:szCs w:val="24"/>
              </w:rPr>
            </w:pPr>
            <w:r>
              <w:rPr>
                <w:rFonts w:hint="eastAsia" w:ascii="宋体" w:hAnsi="Times New Roman"/>
                <w:sz w:val="32"/>
                <w:szCs w:val="24"/>
              </w:rPr>
              <w:t>2、统筹推进全市创新体系建设和科技体制改革，会同有关部门健全技术创新激励机制。优化科研体系建设，指导科研机构改革发展，推动企业科技创新能力建设，承担推进科技军民融合发展相关工作，推进全市重大科技决策咨询制度建设。拟订科学普及和科学传播规划、政策。统筹推进创新型县市区建设。</w:t>
            </w:r>
          </w:p>
          <w:p>
            <w:pPr>
              <w:spacing w:beforeLines="0" w:afterLines="0" w:line="375" w:lineRule="exact"/>
              <w:ind w:left="20" w:firstLine="640" w:firstLineChars="200"/>
              <w:rPr>
                <w:rFonts w:hint="eastAsia" w:ascii="宋体" w:hAnsi="Times New Roman"/>
                <w:sz w:val="32"/>
                <w:szCs w:val="24"/>
              </w:rPr>
            </w:pPr>
            <w:r>
              <w:rPr>
                <w:rFonts w:hint="eastAsia" w:ascii="宋体" w:hAnsi="Times New Roman"/>
                <w:sz w:val="32"/>
                <w:szCs w:val="24"/>
              </w:rPr>
              <w:t>3、牵头建立统一的市级科技管理平台和科研项目资金协调、评估、监管机制。会同有关部门提出优化配置科技资源的政策措施建议，推动多元化科技投入体系建设，协调管理市级财政科技计划(专项、基金等)并监督实施。</w:t>
            </w:r>
          </w:p>
          <w:p>
            <w:pPr>
              <w:spacing w:beforeLines="0" w:afterLines="0" w:line="375" w:lineRule="exact"/>
              <w:ind w:left="20" w:firstLine="640" w:firstLineChars="200"/>
              <w:rPr>
                <w:rFonts w:hint="eastAsia" w:ascii="宋体" w:hAnsi="Times New Roman"/>
                <w:sz w:val="32"/>
                <w:szCs w:val="24"/>
              </w:rPr>
            </w:pPr>
            <w:r>
              <w:rPr>
                <w:rFonts w:hint="eastAsia" w:ascii="宋体" w:hAnsi="Times New Roman"/>
                <w:sz w:val="32"/>
                <w:szCs w:val="24"/>
              </w:rPr>
              <w:t>4、拟订全市基础研究规划、政策和标准并组织实施，组织协调市级重大基础研究和应用基础研究。拟订重大科技创新基地建设规划并监督实施，参与编制重大科技基础设施建设规划和监督实施，牵头组织市重点实验室等重大科技创新基地建设，推动科研条件保障建设和科技资源开放共享。</w:t>
            </w:r>
          </w:p>
          <w:p>
            <w:pPr>
              <w:spacing w:beforeLines="0" w:afterLines="0" w:line="375" w:lineRule="exact"/>
              <w:ind w:left="20" w:firstLine="640" w:firstLineChars="200"/>
              <w:rPr>
                <w:rFonts w:hint="eastAsia" w:ascii="宋体" w:hAnsi="Times New Roman"/>
                <w:sz w:val="32"/>
                <w:szCs w:val="24"/>
              </w:rPr>
            </w:pPr>
            <w:r>
              <w:rPr>
                <w:rFonts w:hint="eastAsia" w:ascii="宋体" w:hAnsi="Times New Roman"/>
                <w:sz w:val="32"/>
                <w:szCs w:val="24"/>
              </w:rPr>
              <w:t>5、编制市级重大科技项目计划并监督实施，统筹关键共性技术、前沿引领技术、现代工程技术、颠覆性技术研发和创新，牵头组织重大技术攻关和成果应用示范。</w:t>
            </w:r>
          </w:p>
          <w:p>
            <w:pPr>
              <w:spacing w:beforeLines="0" w:afterLines="0" w:line="375" w:lineRule="exact"/>
              <w:ind w:left="20" w:firstLine="640" w:firstLineChars="200"/>
              <w:rPr>
                <w:rFonts w:hint="eastAsia" w:ascii="宋体" w:hAnsi="Times New Roman"/>
                <w:sz w:val="32"/>
                <w:szCs w:val="24"/>
              </w:rPr>
            </w:pPr>
            <w:r>
              <w:rPr>
                <w:rFonts w:hint="eastAsia" w:ascii="宋体" w:hAnsi="Times New Roman"/>
                <w:sz w:val="32"/>
                <w:szCs w:val="24"/>
              </w:rPr>
              <w:t>6、组织拟订高新技术发展及产业化、科技促进农业农村和社会发展的规划、政策和措施。组织开展重点领域技术发展需求分析，提出重大任务并监督实施。</w:t>
            </w:r>
          </w:p>
          <w:p>
            <w:pPr>
              <w:spacing w:beforeLines="0" w:afterLines="0" w:line="375" w:lineRule="exact"/>
              <w:ind w:left="20" w:firstLine="640" w:firstLineChars="200"/>
              <w:rPr>
                <w:rFonts w:hint="eastAsia" w:ascii="宋体" w:hAnsi="Times New Roman"/>
                <w:sz w:val="32"/>
                <w:szCs w:val="24"/>
              </w:rPr>
            </w:pPr>
            <w:r>
              <w:rPr>
                <w:rFonts w:hint="eastAsia" w:ascii="宋体" w:hAnsi="Times New Roman"/>
                <w:sz w:val="32"/>
                <w:szCs w:val="24"/>
              </w:rPr>
              <w:t>7、牵头市级技术转移体系建设，拟订科技成果转移转化和促进产学硏结合的相关政策措施并监督实施。指导科技服务业、技术市场、科技金融结合和科技中介组织发展。</w:t>
            </w:r>
          </w:p>
          <w:p>
            <w:pPr>
              <w:spacing w:beforeLines="0" w:afterLines="0" w:line="375" w:lineRule="exact"/>
              <w:ind w:left="20" w:firstLine="640" w:firstLineChars="200"/>
              <w:rPr>
                <w:rFonts w:hint="eastAsia" w:ascii="宋体" w:hAnsi="Times New Roman"/>
                <w:sz w:val="32"/>
                <w:szCs w:val="24"/>
              </w:rPr>
            </w:pPr>
            <w:r>
              <w:rPr>
                <w:rFonts w:hint="eastAsia" w:ascii="宋体" w:hAnsi="Times New Roman"/>
                <w:sz w:val="32"/>
                <w:szCs w:val="24"/>
              </w:rPr>
              <w:t>8、统筹区域科技创新体系建设，指导区域创新发展、科技资源合理布局和协同创新能力建设，推动科技园区建设。</w:t>
            </w:r>
          </w:p>
          <w:p>
            <w:pPr>
              <w:spacing w:beforeLines="0" w:afterLines="0" w:line="375" w:lineRule="exact"/>
              <w:ind w:left="20" w:firstLine="640" w:firstLineChars="200"/>
              <w:rPr>
                <w:rFonts w:hint="eastAsia" w:ascii="宋体" w:hAnsi="Times New Roman"/>
                <w:sz w:val="32"/>
                <w:szCs w:val="24"/>
              </w:rPr>
            </w:pPr>
            <w:r>
              <w:rPr>
                <w:rFonts w:hint="eastAsia" w:ascii="宋体" w:hAnsi="Times New Roman"/>
                <w:sz w:val="32"/>
                <w:szCs w:val="24"/>
              </w:rPr>
              <w:t>9、负责科技监督评价体系建设和相关科技评信管理，指导科技评价机制改革，统筹科研诚信建设。组织实施全市创新调查和科技报告制度，指导全市科技保密工作。</w:t>
            </w:r>
          </w:p>
          <w:p>
            <w:pPr>
              <w:spacing w:beforeLines="0" w:afterLines="0" w:line="375" w:lineRule="exact"/>
              <w:ind w:left="20" w:firstLine="640" w:firstLineChars="200"/>
              <w:rPr>
                <w:rFonts w:hint="eastAsia" w:ascii="宋体" w:hAnsi="Times New Roman"/>
                <w:sz w:val="32"/>
                <w:szCs w:val="24"/>
              </w:rPr>
            </w:pPr>
            <w:r>
              <w:rPr>
                <w:rFonts w:hint="eastAsia" w:ascii="宋体" w:hAnsi="Times New Roman"/>
                <w:sz w:val="32"/>
                <w:szCs w:val="24"/>
              </w:rPr>
              <w:t>10、拟订科技对外交往与创新能力开放合作的规划、政策和措施，组织开展国际和区域科技合作与科技人才交流。指导相关部门和地方对外科技合作与科技人才交流工作。</w:t>
            </w:r>
          </w:p>
          <w:p>
            <w:pPr>
              <w:spacing w:beforeLines="0" w:afterLines="0" w:line="375" w:lineRule="exact"/>
              <w:ind w:firstLine="640" w:firstLineChars="200"/>
              <w:rPr>
                <w:rFonts w:hint="eastAsia" w:ascii="宋体" w:hAnsi="Times New Roman"/>
                <w:sz w:val="32"/>
                <w:szCs w:val="24"/>
              </w:rPr>
            </w:pPr>
            <w:r>
              <w:rPr>
                <w:rFonts w:hint="eastAsia" w:ascii="宋体" w:hAnsi="Times New Roman"/>
                <w:sz w:val="32"/>
                <w:szCs w:val="24"/>
              </w:rPr>
              <w:t>11、负责引进国外和国内智力工作。拟订全市重点引进外国专家总体规划、计划并组织实施，建立国外和国内顶尖科学家、团队吸引集聚机制和重点国内外专家联系服务机制。拟订出国(境)培训总体规划、政策和年度计划并监督实施。</w:t>
            </w:r>
          </w:p>
          <w:p>
            <w:pPr>
              <w:spacing w:beforeLines="0" w:afterLines="0" w:line="375" w:lineRule="exact"/>
              <w:ind w:left="20" w:firstLine="640" w:firstLineChars="200"/>
              <w:rPr>
                <w:rFonts w:hint="eastAsia" w:ascii="宋体" w:hAnsi="Times New Roman"/>
                <w:sz w:val="32"/>
                <w:szCs w:val="24"/>
              </w:rPr>
            </w:pPr>
            <w:r>
              <w:rPr>
                <w:rFonts w:hint="eastAsia" w:ascii="宋体" w:hAnsi="Times New Roman"/>
                <w:sz w:val="32"/>
                <w:szCs w:val="24"/>
              </w:rPr>
              <w:t>12、会同有关部门拟订科技人才队伍建设规划和政策，建立健全科技人才评价和激励机制，组织实施科技人才计划，推动高端科技创新人才队伍建设。</w:t>
            </w:r>
          </w:p>
          <w:p>
            <w:pPr>
              <w:spacing w:beforeLines="0" w:afterLines="0" w:line="375" w:lineRule="exact"/>
              <w:ind w:left="20" w:firstLine="640" w:firstLineChars="200"/>
              <w:rPr>
                <w:rFonts w:hint="eastAsia" w:ascii="宋体" w:hAnsi="Times New Roman"/>
                <w:sz w:val="32"/>
                <w:szCs w:val="24"/>
              </w:rPr>
            </w:pPr>
            <w:r>
              <w:rPr>
                <w:rFonts w:hint="eastAsia" w:ascii="宋体" w:hAnsi="Times New Roman"/>
                <w:sz w:val="32"/>
                <w:szCs w:val="24"/>
              </w:rPr>
              <w:t>13、负责省科学技术奖等的申报组织工作。</w:t>
            </w:r>
          </w:p>
          <w:p>
            <w:pPr>
              <w:spacing w:beforeLines="0" w:afterLines="0" w:line="375" w:lineRule="exact"/>
              <w:ind w:left="20" w:firstLine="640" w:firstLineChars="200"/>
              <w:rPr>
                <w:rFonts w:hint="eastAsia" w:ascii="宋体" w:hAnsi="Times New Roman"/>
                <w:sz w:val="32"/>
                <w:szCs w:val="24"/>
              </w:rPr>
            </w:pPr>
            <w:r>
              <w:rPr>
                <w:rFonts w:hint="eastAsia" w:ascii="宋体" w:hAnsi="Times New Roman"/>
                <w:sz w:val="32"/>
                <w:szCs w:val="24"/>
              </w:rPr>
              <w:t>14、负责管理岳阳市自然科学基金委员会(以下简称市自然科学基金委)，依法对市自然科学基金工作进行宏观管理、统筹协调和监督评估。市自然科学基金委依法管理市自然科学基金，相对独立运行，负责资助计划、项目设置和评审、立项、监督等组织实施工作。</w:t>
            </w:r>
          </w:p>
          <w:p>
            <w:pPr>
              <w:spacing w:beforeLines="0" w:afterLines="0" w:line="375" w:lineRule="exact"/>
              <w:ind w:left="20" w:firstLine="640" w:firstLineChars="200"/>
              <w:rPr>
                <w:rFonts w:hint="eastAsia" w:ascii="宋体" w:hAnsi="Times New Roman"/>
                <w:sz w:val="32"/>
                <w:szCs w:val="24"/>
              </w:rPr>
            </w:pPr>
            <w:r>
              <w:rPr>
                <w:rFonts w:hint="eastAsia" w:ascii="宋体" w:hAnsi="Times New Roman"/>
                <w:sz w:val="32"/>
                <w:szCs w:val="24"/>
              </w:rPr>
              <w:t>15、完成市委、市政府交办的其他任务。</w:t>
            </w:r>
          </w:p>
          <w:p>
            <w:pPr>
              <w:spacing w:beforeLines="0" w:afterLines="0" w:line="375" w:lineRule="exact"/>
              <w:ind w:left="20" w:firstLine="640" w:firstLineChars="200"/>
              <w:rPr>
                <w:rFonts w:hint="eastAsia" w:ascii="宋体" w:hAnsi="Times New Roman"/>
                <w:sz w:val="32"/>
                <w:szCs w:val="24"/>
              </w:rPr>
            </w:pPr>
            <w:r>
              <w:rPr>
                <w:rFonts w:hint="eastAsia" w:ascii="宋体" w:hAnsi="Times New Roman"/>
                <w:sz w:val="32"/>
                <w:szCs w:val="24"/>
              </w:rPr>
              <w:t>16、职能转变。围绕贯彻实施科教兴国战略、人才强国战略、创新驱动发展战略和创新引领开放崛起战略，加强、优化、转变政府科技管理和服务职能，完善科技创新制度和组织体系，加强宏观管理、统筹协调和科研诚信建设。从研发管理向创新服务转变，深入推进科技计划管理改革，建立公开统一的市级科技管理平台，减少科技计划项目配置中的重复、分散、封闭、低效现象。进一步改进科技人才评价机制，建立健全以创新能力、质量、贡献、绩效为导向的科技人才评价体系和激励政策，统筹市内科技人才队伍建设和引进国外智力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Times New Roman"/>
                <w:sz w:val="32"/>
                <w:szCs w:val="24"/>
              </w:rPr>
            </w:pPr>
            <w:r>
              <w:rPr>
                <w:rFonts w:hint="eastAsia" w:ascii="宋体" w:hAnsi="Times New Roman"/>
                <w:sz w:val="32"/>
                <w:szCs w:val="24"/>
              </w:rPr>
              <w:t xml:space="preserve">  （二）机构设置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Times New Roman"/>
                <w:sz w:val="32"/>
                <w:szCs w:val="24"/>
              </w:rPr>
            </w:pPr>
            <w:r>
              <w:rPr>
                <w:rFonts w:hint="eastAsia" w:ascii="宋体" w:hAnsi="Times New Roman"/>
                <w:sz w:val="32"/>
                <w:szCs w:val="24"/>
              </w:rPr>
              <w:t xml:space="preserve">    局机关内设科室11个，即办公室、政策法规科、战略规划与资源配置科、基础研究科、高新技术发展及产业化科、农村科技科、社会发展科技科、成果转化与区域创新科、人事科(人才工作办公室) 、机关党委、机关纪委。</w:t>
            </w:r>
          </w:p>
          <w:p>
            <w:pPr>
              <w:spacing w:beforeLines="0" w:afterLines="0" w:line="375" w:lineRule="exact"/>
              <w:ind w:left="20" w:firstLine="640" w:firstLineChars="200"/>
              <w:rPr>
                <w:rFonts w:hint="eastAsia" w:ascii="宋体" w:hAnsi="Times New Roman"/>
                <w:sz w:val="32"/>
                <w:szCs w:val="24"/>
              </w:rPr>
            </w:pPr>
            <w:r>
              <w:rPr>
                <w:rFonts w:hint="eastAsia" w:ascii="宋体" w:hAnsi="Times New Roman"/>
                <w:sz w:val="32"/>
                <w:szCs w:val="24"/>
              </w:rPr>
              <w:t>下设直属单位1个，市科技事务中心。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default" w:ascii="Dialog" w:hAnsi="Times New Roman"/>
                <w:sz w:val="32"/>
                <w:szCs w:val="24"/>
              </w:rPr>
            </w:pPr>
            <w:r>
              <w:rPr>
                <w:rFonts w:hint="eastAsia" w:ascii="Dialog" w:hAnsi="Times New Roman"/>
                <w:sz w:val="32"/>
                <w:szCs w:val="24"/>
              </w:rPr>
              <w:t xml:space="preserve">  二、部门预算构成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Times New Roman"/>
                <w:sz w:val="32"/>
                <w:szCs w:val="24"/>
              </w:rPr>
            </w:pPr>
            <w:r>
              <w:rPr>
                <w:rFonts w:hint="eastAsia" w:ascii="宋体" w:hAnsi="Times New Roman"/>
                <w:sz w:val="32"/>
                <w:szCs w:val="24"/>
              </w:rPr>
              <w:t xml:space="preserve">  本部门预算为汇总预算，纳入编制范围的预算单位包括：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Times New Roman"/>
                <w:sz w:val="32"/>
                <w:szCs w:val="24"/>
              </w:rPr>
            </w:pPr>
            <w:r>
              <w:rPr>
                <w:rFonts w:hint="eastAsia" w:ascii="宋体" w:hAnsi="Times New Roman"/>
                <w:sz w:val="32"/>
                <w:szCs w:val="24"/>
              </w:rPr>
              <w:t xml:space="preserve">    岳阳市科学技术局本级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rPr>
                <w:rFonts w:hint="eastAsia" w:ascii="宋体" w:hAnsi="Times New Roman"/>
                <w:sz w:val="3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default" w:ascii="Dialog" w:hAnsi="Times New Roman"/>
                <w:sz w:val="32"/>
                <w:szCs w:val="24"/>
              </w:rPr>
            </w:pPr>
            <w:r>
              <w:rPr>
                <w:rFonts w:hint="eastAsia" w:ascii="Dialog" w:hAnsi="Times New Roman"/>
                <w:sz w:val="32"/>
                <w:szCs w:val="24"/>
              </w:rPr>
              <w:t xml:space="preserve">  三、部门收支总体情况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728"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Times New Roman"/>
                <w:sz w:val="32"/>
                <w:szCs w:val="24"/>
              </w:rPr>
            </w:pPr>
            <w:r>
              <w:rPr>
                <w:rFonts w:hint="eastAsia" w:ascii="宋体" w:hAnsi="Times New Roman"/>
                <w:sz w:val="32"/>
                <w:szCs w:val="24"/>
              </w:rPr>
              <w:t xml:space="preserve">  本部门2025年没有政府性基金预算拨款、国有资本经营预算收入和纳入专户管理的非税收入拨款收入，也没有使用政府性基金预算拨款、国有资本经营预算收入和纳入专户管理的非税收入拨款安排的支出，所以公开的附件15、16、17、18、19表均为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default" w:ascii="Dialog" w:hAnsi="Times New Roman"/>
                <w:sz w:val="32"/>
                <w:szCs w:val="24"/>
              </w:rPr>
            </w:pPr>
            <w:r>
              <w:rPr>
                <w:rFonts w:hint="eastAsia" w:ascii="Dialog" w:hAnsi="Times New Roman"/>
                <w:sz w:val="32"/>
                <w:szCs w:val="24"/>
              </w:rPr>
              <w:t xml:space="preserve">  （一）收入预算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222"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Times New Roman"/>
                <w:sz w:val="32"/>
                <w:szCs w:val="24"/>
              </w:rPr>
            </w:pPr>
            <w:r>
              <w:rPr>
                <w:rFonts w:hint="eastAsia" w:ascii="宋体" w:hAnsi="Times New Roman"/>
                <w:sz w:val="32"/>
                <w:szCs w:val="24"/>
              </w:rPr>
              <w:t xml:space="preserve">  包括一般公共预算、政府性基金、国有资本经营预算等财政拨款收入，以及经营收入、事业收入等单位资金。2025年度本部门收入预算1025.73万元，其中，一般公共预算拨款1025.73万元，政府性基金预算资金0.00万元(所以公开的附件17为空)，国有资本经营预算资金0.00万元(所以公开的附件18为空)，财政专户管理资金0.00万元(所以公开的附件19为空)，上级补助收入资金0.00万元，事业单位经营收入资金0.00万元，上年结转结余0.00万元。(数据来源见表2)本部门2025年收入较去年增加31万元，主要是因为新招录四海揽才人员，人员经费及公用经费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default" w:ascii="Dialog" w:hAnsi="Times New Roman"/>
                <w:sz w:val="32"/>
                <w:szCs w:val="24"/>
              </w:rPr>
            </w:pPr>
            <w:r>
              <w:rPr>
                <w:rFonts w:hint="eastAsia" w:ascii="Dialog" w:hAnsi="Times New Roman"/>
                <w:sz w:val="32"/>
                <w:szCs w:val="24"/>
              </w:rPr>
              <w:t xml:space="preserve">  （二）支出预算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728"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Times New Roman"/>
                <w:sz w:val="32"/>
                <w:szCs w:val="24"/>
              </w:rPr>
            </w:pPr>
            <w:r>
              <w:rPr>
                <w:rFonts w:hint="eastAsia" w:ascii="宋体" w:hAnsi="Times New Roman"/>
                <w:sz w:val="32"/>
                <w:szCs w:val="24"/>
              </w:rPr>
              <w:t xml:space="preserve">  2025年本部门支出预算1025.73万元，其中，206科学技术支出901.91万元，208社会保障和就业支出69.89万元，210卫生健康支出7.20万元，221住房保障支出46.73万元，支出较去年增加31万元，主要是因为新招录四海揽才人员，人员经费及公用经费支出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default" w:ascii="Dialog" w:hAnsi="Times New Roman"/>
                <w:sz w:val="32"/>
                <w:szCs w:val="24"/>
              </w:rPr>
            </w:pPr>
            <w:r>
              <w:rPr>
                <w:rFonts w:hint="eastAsia" w:ascii="Dialog" w:hAnsi="Times New Roman"/>
                <w:sz w:val="32"/>
                <w:szCs w:val="24"/>
              </w:rPr>
              <w:t xml:space="preserve">  四、一般公共预算拨款支出预算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728"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Times New Roman"/>
                <w:sz w:val="32"/>
                <w:szCs w:val="24"/>
              </w:rPr>
            </w:pPr>
            <w:r>
              <w:rPr>
                <w:rFonts w:hint="eastAsia" w:ascii="宋体" w:hAnsi="Times New Roman"/>
                <w:sz w:val="32"/>
                <w:szCs w:val="24"/>
              </w:rPr>
              <w:t xml:space="preserve">  2025年一般公共预算拨款支出预算1025.73万元，其中，206科学技术支出901.91万元，占87.93%；208社会保障和就业支出69.89万元，占6.81%；210卫生健康支出7.20万元，占.7%；221住房保障支出46.73万元，占4.56%；具体安排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728"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Times New Roman"/>
                <w:sz w:val="32"/>
                <w:szCs w:val="24"/>
              </w:rPr>
            </w:pPr>
            <w:r>
              <w:rPr>
                <w:rFonts w:hint="eastAsia" w:ascii="宋体" w:hAnsi="Times New Roman"/>
                <w:sz w:val="32"/>
                <w:szCs w:val="24"/>
              </w:rPr>
              <w:t xml:space="preserve">  （一）基本支出：2025年基本支出年初预算数为920.73万元（数据来源见表23），是指为保障单位机构正常运转、完成日常工作任务而发生的各项支出，包括用于基本工资、津贴补贴等人员经费以及办公费、印刷费、水电费、差旅费等日常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728"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Times New Roman"/>
                <w:sz w:val="32"/>
                <w:szCs w:val="24"/>
              </w:rPr>
            </w:pPr>
            <w:r>
              <w:rPr>
                <w:rFonts w:hint="eastAsia" w:ascii="宋体" w:hAnsi="Times New Roman"/>
                <w:sz w:val="32"/>
                <w:szCs w:val="24"/>
              </w:rPr>
              <w:t xml:space="preserve">  （二）项目支出：2025年项目支出年初预算数为105.00万元（数据来源见表20），是指部门为完成特定行政工作任务或事业发展目标而发生的支出，包括有关业务工作经费、运行维护经费、其他事业发展资金等。其中：日常工作经费专项支出105.00万元，主要用于保障科技局正常运转，科技业务工作经费、日常工作运行维护经费方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default" w:ascii="Dialog" w:hAnsi="Times New Roman"/>
                <w:sz w:val="32"/>
                <w:szCs w:val="24"/>
              </w:rPr>
            </w:pPr>
            <w:r>
              <w:rPr>
                <w:rFonts w:hint="eastAsia" w:ascii="Dialog" w:hAnsi="Times New Roman"/>
                <w:sz w:val="32"/>
                <w:szCs w:val="24"/>
              </w:rPr>
              <w:t xml:space="preserve">  五、政府性基金预算支出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Times New Roman"/>
                <w:sz w:val="32"/>
                <w:szCs w:val="24"/>
              </w:rPr>
            </w:pPr>
            <w:r>
              <w:rPr>
                <w:rFonts w:hint="eastAsia" w:ascii="宋体" w:hAnsi="Times New Roman"/>
                <w:sz w:val="32"/>
                <w:szCs w:val="24"/>
              </w:rPr>
              <w:t xml:space="preserve">  2025年度本部门无政府性基金安排的支出，所以公开的附件15-17（政府性基金预算）为空。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default" w:ascii="Dialog" w:hAnsi="Times New Roman"/>
                <w:sz w:val="32"/>
                <w:szCs w:val="24"/>
              </w:rPr>
            </w:pPr>
            <w:r>
              <w:rPr>
                <w:rFonts w:hint="eastAsia" w:ascii="Dialog" w:hAnsi="Times New Roman"/>
                <w:sz w:val="32"/>
                <w:szCs w:val="24"/>
              </w:rPr>
              <w:t xml:space="preserve">  六、其他重要事项的情况说明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default" w:ascii="Dialog" w:hAnsi="Times New Roman"/>
                <w:sz w:val="32"/>
                <w:szCs w:val="24"/>
              </w:rPr>
            </w:pPr>
            <w:r>
              <w:rPr>
                <w:rFonts w:hint="eastAsia" w:ascii="Dialog" w:hAnsi="Times New Roman"/>
                <w:sz w:val="32"/>
                <w:szCs w:val="24"/>
              </w:rPr>
              <w:t xml:space="preserve">  （一）机关运行经费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481"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Times New Roman"/>
                <w:sz w:val="32"/>
                <w:szCs w:val="24"/>
              </w:rPr>
            </w:pPr>
            <w:r>
              <w:rPr>
                <w:rFonts w:hint="eastAsia" w:ascii="宋体" w:hAnsi="Times New Roman"/>
                <w:sz w:val="32"/>
                <w:szCs w:val="24"/>
              </w:rPr>
              <w:t xml:space="preserve">  本部门2025年机关运行经费当年一般公共预算拨款137.63万元（数据来源见表12），比上一年增加21.56万元，增加18.57%。主要原因2025年度是人员增加，机关运行成本增加。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default" w:ascii="Dialog" w:hAnsi="Times New Roman"/>
                <w:sz w:val="32"/>
                <w:szCs w:val="24"/>
              </w:rPr>
            </w:pPr>
            <w:r>
              <w:rPr>
                <w:rFonts w:hint="eastAsia" w:ascii="Dialog" w:hAnsi="Times New Roman"/>
                <w:sz w:val="32"/>
                <w:szCs w:val="24"/>
              </w:rPr>
              <w:t xml:space="preserve">  （二）“三公”经费预算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728"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Times New Roman"/>
                <w:sz w:val="32"/>
                <w:szCs w:val="24"/>
              </w:rPr>
            </w:pPr>
            <w:r>
              <w:rPr>
                <w:rFonts w:hint="eastAsia" w:ascii="宋体" w:hAnsi="Times New Roman"/>
                <w:sz w:val="32"/>
                <w:szCs w:val="24"/>
              </w:rPr>
              <w:t xml:space="preserve">  本部门2025年“三公”经费预算数5.00万元（数据来源见表14），其中，公务接待费2.00万元，因公出国（境）费0.00万元，公务用车购置及运行费3.00万元（其中，公务用车购置费0.00万元，公务用车运行费3.00万元）。2025年三公经费预算较上年减少3.28万元，主要原因是落实中央八项规定和过紧日子要求，逐年减少三公经费开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default" w:ascii="Dialog" w:hAnsi="Times New Roman"/>
                <w:sz w:val="32"/>
                <w:szCs w:val="24"/>
              </w:rPr>
            </w:pPr>
            <w:r>
              <w:rPr>
                <w:rFonts w:hint="eastAsia" w:ascii="Dialog" w:hAnsi="Times New Roman"/>
                <w:sz w:val="32"/>
                <w:szCs w:val="24"/>
              </w:rPr>
              <w:t xml:space="preserve">  （三）一般性支出情况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975"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Times New Roman"/>
                <w:sz w:val="32"/>
                <w:szCs w:val="24"/>
              </w:rPr>
            </w:pPr>
            <w:r>
              <w:rPr>
                <w:rFonts w:hint="eastAsia" w:ascii="宋体" w:hAnsi="Times New Roman"/>
                <w:sz w:val="32"/>
                <w:szCs w:val="24"/>
              </w:rPr>
              <w:t xml:space="preserve">  本部门2025年会议费预算1.00万元（数据来源见表13会议费、培训费），拟召开1次会议，人数300人，内容为全市科技创新大会；培训费预算0.65万元，拟开展1次培训，人数200人，内容为全市全社会研发投入培训会；2025年度本部门未计划举办节庆、晚会、论坛、赛事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default" w:ascii="Dialog" w:hAnsi="Times New Roman"/>
                <w:sz w:val="32"/>
                <w:szCs w:val="24"/>
              </w:rPr>
            </w:pPr>
            <w:r>
              <w:rPr>
                <w:rFonts w:hint="eastAsia" w:ascii="Dialog" w:hAnsi="Times New Roman"/>
                <w:sz w:val="32"/>
                <w:szCs w:val="24"/>
              </w:rPr>
              <w:t xml:space="preserve">  （四）政府采购情况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728"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Times New Roman"/>
                <w:sz w:val="32"/>
                <w:szCs w:val="24"/>
              </w:rPr>
            </w:pPr>
            <w:r>
              <w:rPr>
                <w:rFonts w:hint="eastAsia" w:ascii="宋体" w:hAnsi="Times New Roman"/>
                <w:sz w:val="32"/>
                <w:szCs w:val="24"/>
              </w:rPr>
              <w:t xml:space="preserve">  本部门2025年政府采购预算总额177万元，其中工程类XX万元，货物类75万元，服务类102万元。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default" w:ascii="Dialog" w:hAnsi="Times New Roman"/>
                <w:sz w:val="32"/>
                <w:szCs w:val="24"/>
              </w:rPr>
            </w:pPr>
            <w:r>
              <w:rPr>
                <w:rFonts w:hint="eastAsia" w:ascii="Dialog" w:hAnsi="Times New Roman"/>
                <w:sz w:val="32"/>
                <w:szCs w:val="24"/>
              </w:rPr>
              <w:t xml:space="preserve">  （五）国有资产占有使用及新增资产配置情况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2210"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Times New Roman"/>
                <w:sz w:val="32"/>
                <w:szCs w:val="24"/>
              </w:rPr>
            </w:pPr>
            <w:r>
              <w:rPr>
                <w:rFonts w:hint="eastAsia" w:ascii="宋体" w:hAnsi="Times New Roman"/>
                <w:sz w:val="32"/>
                <w:szCs w:val="24"/>
              </w:rPr>
              <w:t xml:space="preserve">  截至上年底，本部门共有车辆1辆，其中领导干部用车0辆，一般公务用车0辆，其他用车1辆。单位价值50万元以上通用设备0台，单位价值100万元以上专用设备0台。 </w:t>
            </w:r>
          </w:p>
          <w:p>
            <w:pPr>
              <w:spacing w:beforeLines="0" w:afterLines="0" w:line="375" w:lineRule="exact"/>
              <w:ind w:left="20"/>
              <w:rPr>
                <w:rFonts w:hint="eastAsia" w:ascii="宋体" w:hAnsi="Times New Roman"/>
                <w:sz w:val="32"/>
                <w:szCs w:val="24"/>
              </w:rPr>
            </w:pPr>
            <w:r>
              <w:rPr>
                <w:rFonts w:hint="eastAsia" w:ascii="宋体" w:hAnsi="Times New Roman"/>
                <w:sz w:val="32"/>
                <w:szCs w:val="24"/>
              </w:rPr>
              <w:t xml:space="preserve">  2025年度本部门未计划处置或新增车辆、设备等。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default" w:ascii="Dialog" w:hAnsi="Times New Roman"/>
                <w:sz w:val="32"/>
                <w:szCs w:val="24"/>
              </w:rPr>
            </w:pPr>
            <w:r>
              <w:rPr>
                <w:rFonts w:hint="eastAsia" w:ascii="Dialog" w:hAnsi="Times New Roman"/>
                <w:sz w:val="32"/>
                <w:szCs w:val="24"/>
              </w:rPr>
              <w:t xml:space="preserve">  （六）预算绩效目标说明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481"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Times New Roman"/>
                <w:sz w:val="32"/>
                <w:szCs w:val="24"/>
              </w:rPr>
            </w:pPr>
            <w:r>
              <w:rPr>
                <w:rFonts w:hint="eastAsia" w:ascii="宋体" w:hAnsi="Times New Roman"/>
                <w:sz w:val="32"/>
                <w:szCs w:val="24"/>
              </w:rPr>
              <w:t xml:space="preserve">    本部门所有支出实行绩效目标管理。纳入2025年部门整体支出绩效目标的金额为1025.73万元，其中，基本支出920.73万元，项目支出105.00万元，详见文尾附表中部门预算公开表格的表21-22。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default" w:ascii="Dialog" w:hAnsi="Times New Roman"/>
                <w:sz w:val="32"/>
                <w:szCs w:val="24"/>
              </w:rPr>
            </w:pPr>
            <w:r>
              <w:rPr>
                <w:rFonts w:hint="eastAsia" w:ascii="Dialog" w:hAnsi="Times New Roman"/>
                <w:sz w:val="32"/>
                <w:szCs w:val="24"/>
              </w:rPr>
              <w:t xml:space="preserve">  七、名词解释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1105"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Times New Roman"/>
                <w:sz w:val="32"/>
                <w:szCs w:val="24"/>
              </w:rPr>
            </w:pPr>
            <w:r>
              <w:rPr>
                <w:rFonts w:hint="eastAsia" w:ascii="宋体" w:hAnsi="Times New Roman"/>
                <w:sz w:val="32"/>
                <w:szCs w:val="24"/>
              </w:rPr>
              <w:t xml:space="preserve">  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105"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Times New Roman"/>
                <w:sz w:val="32"/>
                <w:szCs w:val="24"/>
              </w:rPr>
            </w:pPr>
            <w:r>
              <w:rPr>
                <w:rFonts w:hint="eastAsia" w:ascii="宋体" w:hAnsi="Times New Roman"/>
                <w:sz w:val="32"/>
                <w:szCs w:val="24"/>
              </w:rPr>
              <w:t xml:space="preserve">  2、“三公”经费：纳入财政预算管理的“三公“经费，是指用一般公共预算拨款安排的公务接待费、公务用车购置及运行维护费和因公出国（境）费。其中，公务接待费反映部门按规定开支的各类公务接待支出；公务用车购置及运行费反映部门公务用车车辆购置支出（含车辆购置税），以及燃料费、维修费、保险费等支出；因公出国（境）费反映部门公务出国（境）的国际旅费、国外城市间交通费、食宿费等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182" w:hRule="atLeast"/>
        </w:trPr>
        <w:tc>
          <w:tcPr>
            <w:tcW w:w="15306"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ascii="Times New Roman" w:eastAsia="Times New Roman"/>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82" w:hRule="atLeast"/>
        </w:trPr>
        <w:tc>
          <w:tcPr>
            <w:tcW w:w="15306"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ascii="Times New Roman" w:eastAsia="Times New Roman"/>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182" w:hRule="atLeast"/>
        </w:trPr>
        <w:tc>
          <w:tcPr>
            <w:tcW w:w="15306"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ascii="Times New Roman" w:eastAsia="Times New Roman"/>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jc w:val="center"/>
              <w:rPr>
                <w:rFonts w:hint="default" w:ascii="Dialog" w:hAnsi="Times New Roman"/>
                <w:sz w:val="32"/>
                <w:szCs w:val="24"/>
              </w:rPr>
            </w:pPr>
            <w:r>
              <w:rPr>
                <w:rFonts w:hint="eastAsia" w:ascii="Dialog" w:hAnsi="Times New Roman"/>
                <w:sz w:val="32"/>
                <w:szCs w:val="24"/>
              </w:rPr>
              <w:t>第二部分  2025年部门预算公开表格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Times New Roman"/>
                <w:sz w:val="32"/>
                <w:szCs w:val="24"/>
              </w:rPr>
            </w:pPr>
            <w:r>
              <w:rPr>
                <w:rFonts w:hint="eastAsia" w:ascii="宋体" w:hAnsi="Times New Roman"/>
                <w:sz w:val="32"/>
                <w:szCs w:val="24"/>
              </w:rPr>
              <w:t>1、收支总表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Times New Roman"/>
                <w:sz w:val="32"/>
                <w:szCs w:val="24"/>
              </w:rPr>
            </w:pPr>
            <w:r>
              <w:rPr>
                <w:rFonts w:hint="eastAsia" w:ascii="宋体" w:hAnsi="Times New Roman"/>
                <w:sz w:val="32"/>
                <w:szCs w:val="24"/>
              </w:rPr>
              <w:t>2、收入总表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Times New Roman"/>
                <w:sz w:val="32"/>
                <w:szCs w:val="24"/>
              </w:rPr>
            </w:pPr>
            <w:r>
              <w:rPr>
                <w:rFonts w:hint="eastAsia" w:ascii="宋体" w:hAnsi="Times New Roman"/>
                <w:sz w:val="32"/>
                <w:szCs w:val="24"/>
              </w:rPr>
              <w:t>3、支出总表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Times New Roman"/>
                <w:sz w:val="32"/>
                <w:szCs w:val="24"/>
              </w:rPr>
            </w:pPr>
            <w:r>
              <w:rPr>
                <w:rFonts w:hint="eastAsia" w:ascii="宋体" w:hAnsi="Times New Roman"/>
                <w:sz w:val="32"/>
                <w:szCs w:val="24"/>
              </w:rPr>
              <w:t>4、支出预算分类汇总表（按政府预算经济分类）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Times New Roman"/>
                <w:sz w:val="32"/>
                <w:szCs w:val="24"/>
              </w:rPr>
            </w:pPr>
            <w:r>
              <w:rPr>
                <w:rFonts w:hint="eastAsia" w:ascii="宋体" w:hAnsi="Times New Roman"/>
                <w:sz w:val="32"/>
                <w:szCs w:val="24"/>
              </w:rPr>
              <w:t>5、支出预算分类汇总表（按部门预算经济分类）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Times New Roman"/>
                <w:sz w:val="32"/>
                <w:szCs w:val="24"/>
              </w:rPr>
            </w:pPr>
            <w:r>
              <w:rPr>
                <w:rFonts w:hint="eastAsia" w:ascii="宋体" w:hAnsi="Times New Roman"/>
                <w:sz w:val="32"/>
                <w:szCs w:val="24"/>
              </w:rPr>
              <w:t>6、财政拨款收支总表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Times New Roman"/>
                <w:sz w:val="32"/>
                <w:szCs w:val="24"/>
              </w:rPr>
            </w:pPr>
            <w:r>
              <w:rPr>
                <w:rFonts w:hint="eastAsia" w:ascii="宋体" w:hAnsi="Times New Roman"/>
                <w:sz w:val="32"/>
                <w:szCs w:val="24"/>
              </w:rPr>
              <w:t>7、一般公共预算支出表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Times New Roman"/>
                <w:sz w:val="32"/>
                <w:szCs w:val="24"/>
              </w:rPr>
            </w:pPr>
            <w:r>
              <w:rPr>
                <w:rFonts w:hint="eastAsia" w:ascii="宋体" w:hAnsi="Times New Roman"/>
                <w:sz w:val="32"/>
                <w:szCs w:val="24"/>
              </w:rPr>
              <w:t>8、一般公共预算基本支出表-人员经费（工资福利支出）（按政府预算经济分类）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Times New Roman"/>
                <w:sz w:val="32"/>
                <w:szCs w:val="24"/>
              </w:rPr>
            </w:pPr>
            <w:r>
              <w:rPr>
                <w:rFonts w:hint="eastAsia" w:ascii="宋体" w:hAnsi="Times New Roman"/>
                <w:sz w:val="32"/>
                <w:szCs w:val="24"/>
              </w:rPr>
              <w:t>9、一般公共预算基本支出表-人员经费（工资福利支出）（按部门预算经济分类）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Times New Roman"/>
                <w:sz w:val="32"/>
                <w:szCs w:val="24"/>
              </w:rPr>
            </w:pPr>
            <w:r>
              <w:rPr>
                <w:rFonts w:hint="eastAsia" w:ascii="宋体" w:hAnsi="Times New Roman"/>
                <w:sz w:val="32"/>
                <w:szCs w:val="24"/>
              </w:rPr>
              <w:t>10、一般公共预算基本支出表-人员经费（对个人和家庭的补助）（按政府预算经济分类）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Times New Roman"/>
                <w:sz w:val="32"/>
                <w:szCs w:val="24"/>
              </w:rPr>
            </w:pPr>
            <w:r>
              <w:rPr>
                <w:rFonts w:hint="eastAsia" w:ascii="宋体" w:hAnsi="Times New Roman"/>
                <w:sz w:val="32"/>
                <w:szCs w:val="24"/>
              </w:rPr>
              <w:t>11、一般公共预算基本支出表-人员经费（对个人和家庭的补助）（按部门预算经济分类）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Times New Roman"/>
                <w:sz w:val="32"/>
                <w:szCs w:val="24"/>
              </w:rPr>
            </w:pPr>
            <w:r>
              <w:rPr>
                <w:rFonts w:hint="eastAsia" w:ascii="宋体" w:hAnsi="Times New Roman"/>
                <w:sz w:val="32"/>
                <w:szCs w:val="24"/>
              </w:rPr>
              <w:t>12、一般公共预算基本支出表-公用经费（商品和服务支出）（按政府预算经济分类）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Times New Roman"/>
                <w:sz w:val="32"/>
                <w:szCs w:val="24"/>
              </w:rPr>
            </w:pPr>
            <w:r>
              <w:rPr>
                <w:rFonts w:hint="eastAsia" w:ascii="宋体" w:hAnsi="Times New Roman"/>
                <w:sz w:val="32"/>
                <w:szCs w:val="24"/>
              </w:rPr>
              <w:t>13、一般公共预算基本支出表-公用经费（商品和服务支出）（按部门预算经济分类）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Times New Roman"/>
                <w:sz w:val="32"/>
                <w:szCs w:val="24"/>
              </w:rPr>
            </w:pPr>
            <w:r>
              <w:rPr>
                <w:rFonts w:hint="eastAsia" w:ascii="宋体" w:hAnsi="Times New Roman"/>
                <w:sz w:val="32"/>
                <w:szCs w:val="24"/>
              </w:rPr>
              <w:t>14、一般公共预算“三公”经费支出表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Times New Roman"/>
                <w:sz w:val="32"/>
                <w:szCs w:val="24"/>
              </w:rPr>
            </w:pPr>
            <w:r>
              <w:rPr>
                <w:rFonts w:hint="eastAsia" w:ascii="宋体" w:hAnsi="Times New Roman"/>
                <w:sz w:val="32"/>
                <w:szCs w:val="24"/>
              </w:rPr>
              <w:t>15、政府性基金预算支出表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Times New Roman"/>
                <w:sz w:val="32"/>
                <w:szCs w:val="24"/>
              </w:rPr>
            </w:pPr>
            <w:r>
              <w:rPr>
                <w:rFonts w:hint="eastAsia" w:ascii="宋体" w:hAnsi="Times New Roman"/>
                <w:sz w:val="32"/>
                <w:szCs w:val="24"/>
              </w:rPr>
              <w:t>16、政府性基金预算支出分类汇总表（按政府预算经济分类）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Times New Roman"/>
                <w:sz w:val="32"/>
                <w:szCs w:val="24"/>
              </w:rPr>
            </w:pPr>
            <w:r>
              <w:rPr>
                <w:rFonts w:hint="eastAsia" w:ascii="宋体" w:hAnsi="Times New Roman"/>
                <w:sz w:val="32"/>
                <w:szCs w:val="24"/>
              </w:rPr>
              <w:t>17、政府性基金预算支出分类汇总表（按部门预算经济分类）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Times New Roman"/>
                <w:sz w:val="32"/>
                <w:szCs w:val="24"/>
              </w:rPr>
            </w:pPr>
            <w:r>
              <w:rPr>
                <w:rFonts w:hint="eastAsia" w:ascii="宋体" w:hAnsi="Times New Roman"/>
                <w:sz w:val="32"/>
                <w:szCs w:val="24"/>
              </w:rPr>
              <w:t>18、国有资本经营预算支出表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Times New Roman"/>
                <w:sz w:val="32"/>
                <w:szCs w:val="24"/>
              </w:rPr>
            </w:pPr>
            <w:r>
              <w:rPr>
                <w:rFonts w:hint="eastAsia" w:ascii="宋体" w:hAnsi="Times New Roman"/>
                <w:sz w:val="32"/>
                <w:szCs w:val="24"/>
              </w:rPr>
              <w:t>19、财政专户管理资金预算支出表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Times New Roman"/>
                <w:sz w:val="32"/>
                <w:szCs w:val="24"/>
              </w:rPr>
            </w:pPr>
            <w:r>
              <w:rPr>
                <w:rFonts w:hint="eastAsia" w:ascii="宋体" w:hAnsi="Times New Roman"/>
                <w:sz w:val="32"/>
                <w:szCs w:val="24"/>
              </w:rPr>
              <w:t>20、专项资金预算汇总表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Times New Roman"/>
                <w:sz w:val="32"/>
                <w:szCs w:val="24"/>
              </w:rPr>
            </w:pPr>
            <w:r>
              <w:rPr>
                <w:rFonts w:hint="eastAsia" w:ascii="宋体" w:hAnsi="Times New Roman"/>
                <w:sz w:val="32"/>
                <w:szCs w:val="24"/>
              </w:rPr>
              <w:t>21、项目支出绩效目标表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Times New Roman"/>
                <w:sz w:val="32"/>
                <w:szCs w:val="24"/>
              </w:rPr>
            </w:pPr>
            <w:r>
              <w:rPr>
                <w:rFonts w:hint="eastAsia" w:ascii="宋体" w:hAnsi="Times New Roman"/>
                <w:sz w:val="32"/>
                <w:szCs w:val="24"/>
              </w:rPr>
              <w:t>22、部门整体支出绩效目标表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Times New Roman"/>
                <w:sz w:val="32"/>
                <w:szCs w:val="24"/>
              </w:rPr>
            </w:pPr>
            <w:r>
              <w:rPr>
                <w:rFonts w:hint="eastAsia" w:ascii="宋体" w:hAnsi="Times New Roman"/>
                <w:sz w:val="32"/>
                <w:szCs w:val="24"/>
              </w:rPr>
              <w:t>23、一般公共预算基本支出表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Times New Roman"/>
                <w:color w:val="FF0000"/>
                <w:sz w:val="32"/>
                <w:szCs w:val="24"/>
              </w:rPr>
            </w:pPr>
            <w:r>
              <w:rPr>
                <w:rFonts w:hint="eastAsia" w:ascii="宋体" w:hAnsi="Times New Roman"/>
                <w:b/>
                <w:color w:val="FF0000"/>
                <w:sz w:val="32"/>
                <w:szCs w:val="24"/>
              </w:rPr>
              <w:t>注：以上部门预算公开报表中，空表表示本部门无相关收支情况。</w:t>
            </w:r>
          </w:p>
        </w:tc>
      </w:tr>
    </w:tbl>
    <w:p>
      <w:pPr>
        <w:spacing w:beforeLines="0" w:afterLines="0"/>
        <w:rPr>
          <w:rFonts w:hint="default"/>
          <w:sz w:val="24"/>
          <w:szCs w:val="24"/>
        </w:rPr>
      </w:pPr>
    </w:p>
    <w:sectPr>
      <w:pgSz w:w="18708" w:h="15840"/>
      <w:pgMar w:top="388" w:right="1080" w:bottom="388" w:left="108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Nimbus Roman No9 L"/>
    <w:panose1 w:val="020B0604020202020204"/>
    <w:charset w:val="00"/>
    <w:family w:val="swiss"/>
    <w:pitch w:val="default"/>
    <w:sig w:usb0="00000000" w:usb1="00000000" w:usb2="00000000" w:usb3="00000000" w:csb0="00040001" w:csb1="00000000"/>
  </w:font>
  <w:font w:name="Cambria">
    <w:altName w:val="华文仿宋"/>
    <w:panose1 w:val="02040503050406030204"/>
    <w:charset w:val="00"/>
    <w:family w:val="roman"/>
    <w:pitch w:val="default"/>
    <w:sig w:usb0="00000000" w:usb1="00000000" w:usb2="00000000" w:usb3="00000000" w:csb0="00040001" w:csb1="00000000"/>
  </w:font>
  <w:font w:name="微软雅黑">
    <w:altName w:val="黑体"/>
    <w:panose1 w:val="020B0503020204020204"/>
    <w:charset w:val="00"/>
    <w:family w:val="swiss"/>
    <w:pitch w:val="default"/>
    <w:sig w:usb0="00000000" w:usb1="00000000" w:usb2="00000000" w:usb3="00000000" w:csb0="00040001" w:csb1="00000000"/>
  </w:font>
  <w:font w:name="Dialog">
    <w:altName w:val="Nimbus Roman No9 L"/>
    <w:panose1 w:val="00000000000000000000"/>
    <w:charset w:val="00"/>
    <w:family w:val="roman"/>
    <w:pitch w:val="default"/>
    <w:sig w:usb0="00000000" w:usb1="00000000" w:usb2="00000000"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0"/>
  <w:displayVerticalDrawingGridEvery w:val="3"/>
  <w:doNotUseMarginsForDrawingGridOrigin w:val="true"/>
  <w:drawingGridHorizontalOrigin w:val="1701"/>
  <w:drawingGridVerticalOrigin w:val="1984"/>
  <w:doNotShadeFormData w:val="true"/>
  <w:characterSpacingControl w:val="compressPunctuation"/>
  <w:doNotValidateAgainstSchema/>
  <w:doNotDemarcateInvalidXml/>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4F9B3E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99" w:semiHidden="0" w:name="Normal"/>
    <w:lsdException w:qFormat="1" w:uiPriority="9" w:semiHidden="0" w:name="heading 1"/>
    <w:lsdException w:qFormat="1" w:uiPriority="99" w:semiHidden="0" w:name="heading 2"/>
    <w:lsdException w:qFormat="1" w:uiPriority="9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uiPriority="99" w:semiHidden="0" w:name="header"/>
    <w:lsdException w:uiPriority="99" w:semiHidden="0" w:name="footer"/>
    <w:lsdException w:qFormat="1" w:unhideWhenUsed="0" w:uiPriority="99" w:semiHidden="0" w:name="index heading"/>
    <w:lsdException w:qFormat="1" w:unhideWhenUsed="0" w:uiPriority="35"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10" w:semiHidden="0" w:name="Title"/>
    <w:lsdException w:qFormat="1" w:unhideWhenUsed="0" w:uiPriority="99" w:semiHidden="0" w:name="Closing"/>
    <w:lsdException w:qFormat="1" w:unhideWhenUsed="0" w:uiPriority="99" w:semiHidden="0" w:name="Signature"/>
    <w:lsdException w:uiPriority="1"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59" w:semiHidden="0" w:name="Table Grid"/>
    <w:lsdException w:qFormat="1" w:unhideWhenUsed="0" w:uiPriority="99"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next w:val="2"/>
    <w:unhideWhenUsed/>
    <w:qFormat/>
    <w:uiPriority w:val="99"/>
    <w:pPr>
      <w:widowControl w:val="0"/>
      <w:autoSpaceDE w:val="0"/>
      <w:autoSpaceDN w:val="0"/>
      <w:adjustRightInd w:val="0"/>
      <w:spacing w:beforeLines="0" w:afterLines="0"/>
    </w:pPr>
    <w:rPr>
      <w:rFonts w:hint="eastAsia" w:ascii="Arial" w:hAnsi="Arial" w:eastAsia="宋体"/>
      <w:color w:val="000000"/>
      <w:sz w:val="24"/>
      <w:szCs w:val="24"/>
      <w:lang w:val="en-US" w:eastAsia="zh-CN"/>
    </w:rPr>
  </w:style>
  <w:style w:type="paragraph" w:styleId="3">
    <w:name w:val="heading 1"/>
    <w:basedOn w:val="1"/>
    <w:next w:val="1"/>
    <w:link w:val="14"/>
    <w:unhideWhenUsed/>
    <w:qFormat/>
    <w:uiPriority w:val="9"/>
    <w:pPr>
      <w:spacing w:beforeLines="0" w:afterLines="0"/>
      <w:outlineLvl w:val="0"/>
    </w:pPr>
    <w:rPr>
      <w:rFonts w:hint="eastAsia"/>
      <w:b/>
      <w:sz w:val="32"/>
      <w:szCs w:val="24"/>
    </w:rPr>
  </w:style>
  <w:style w:type="paragraph" w:styleId="4">
    <w:name w:val="heading 2"/>
    <w:basedOn w:val="1"/>
    <w:next w:val="1"/>
    <w:link w:val="10"/>
    <w:unhideWhenUsed/>
    <w:qFormat/>
    <w:uiPriority w:val="99"/>
    <w:pPr>
      <w:spacing w:beforeLines="0" w:afterLines="0"/>
      <w:outlineLvl w:val="1"/>
    </w:pPr>
    <w:rPr>
      <w:rFonts w:hint="eastAsia"/>
      <w:b/>
      <w:i/>
      <w:sz w:val="28"/>
      <w:szCs w:val="24"/>
    </w:rPr>
  </w:style>
  <w:style w:type="paragraph" w:styleId="5">
    <w:name w:val="heading 3"/>
    <w:basedOn w:val="1"/>
    <w:next w:val="1"/>
    <w:link w:val="11"/>
    <w:unhideWhenUsed/>
    <w:qFormat/>
    <w:uiPriority w:val="99"/>
    <w:pPr>
      <w:spacing w:beforeLines="0" w:afterLines="0"/>
      <w:outlineLvl w:val="2"/>
    </w:pPr>
    <w:rPr>
      <w:rFonts w:hint="eastAsia"/>
      <w:b/>
      <w:sz w:val="26"/>
      <w:szCs w:val="24"/>
    </w:rPr>
  </w:style>
  <w:style w:type="character" w:default="1" w:styleId="9">
    <w:name w:val="Default Paragraph Font"/>
    <w:unhideWhenUsed/>
    <w:uiPriority w:val="1"/>
    <w:rPr>
      <w:rFonts w:hint="default"/>
      <w:sz w:val="24"/>
      <w:szCs w:val="24"/>
    </w:rPr>
  </w:style>
  <w:style w:type="table" w:default="1" w:styleId="8">
    <w:name w:val="Normal Table"/>
    <w:qFormat/>
    <w:uiPriority w:val="99"/>
    <w:tblPr>
      <w:tblCellMar>
        <w:top w:w="0" w:type="dxa"/>
        <w:left w:w="108" w:type="dxa"/>
        <w:bottom w:w="0" w:type="dxa"/>
        <w:right w:w="108" w:type="dxa"/>
      </w:tblCellMar>
    </w:tblPr>
  </w:style>
  <w:style w:type="paragraph" w:styleId="2">
    <w:name w:val="toa heading"/>
    <w:basedOn w:val="1"/>
    <w:next w:val="1"/>
    <w:unhideWhenUsed/>
    <w:qFormat/>
    <w:uiPriority w:val="99"/>
    <w:pPr>
      <w:spacing w:before="120" w:beforeLines="0" w:after="200" w:afterLines="0" w:line="276" w:lineRule="auto"/>
    </w:pPr>
    <w:rPr>
      <w:rFonts w:hint="eastAsia"/>
      <w:sz w:val="24"/>
      <w:szCs w:val="24"/>
    </w:rPr>
  </w:style>
  <w:style w:type="paragraph" w:styleId="6">
    <w:name w:val="footer"/>
    <w:basedOn w:val="1"/>
    <w:link w:val="13"/>
    <w:unhideWhenUsed/>
    <w:uiPriority w:val="99"/>
    <w:pPr>
      <w:tabs>
        <w:tab w:val="center" w:pos="4153"/>
        <w:tab w:val="right" w:pos="8306"/>
      </w:tabs>
      <w:snapToGrid w:val="0"/>
      <w:spacing w:beforeLines="0" w:afterLines="0"/>
    </w:pPr>
    <w:rPr>
      <w:rFonts w:hint="eastAsia"/>
      <w:sz w:val="18"/>
      <w:szCs w:val="24"/>
    </w:rPr>
  </w:style>
  <w:style w:type="paragraph" w:styleId="7">
    <w:name w:val="header"/>
    <w:basedOn w:val="1"/>
    <w:link w:val="12"/>
    <w:unhideWhenUsed/>
    <w:uiPriority w:val="99"/>
    <w:pPr>
      <w:pBdr>
        <w:bottom w:val="single" w:color="auto" w:sz="6" w:space="1"/>
      </w:pBdr>
      <w:tabs>
        <w:tab w:val="center" w:pos="4153"/>
        <w:tab w:val="right" w:pos="8306"/>
      </w:tabs>
      <w:snapToGrid w:val="0"/>
      <w:spacing w:beforeLines="0" w:afterLines="0"/>
      <w:jc w:val="center"/>
    </w:pPr>
    <w:rPr>
      <w:rFonts w:hint="eastAsia"/>
      <w:sz w:val="18"/>
      <w:szCs w:val="24"/>
    </w:rPr>
  </w:style>
  <w:style w:type="character" w:customStyle="1" w:styleId="10">
    <w:name w:val="标题 2 Char"/>
    <w:basedOn w:val="9"/>
    <w:link w:val="4"/>
    <w:unhideWhenUsed/>
    <w:locked/>
    <w:uiPriority w:val="9"/>
    <w:rPr>
      <w:rFonts w:hint="eastAsia" w:ascii="Cambria" w:hAnsi="Cambria" w:eastAsia="宋体"/>
      <w:b/>
      <w:sz w:val="32"/>
      <w:szCs w:val="24"/>
    </w:rPr>
  </w:style>
  <w:style w:type="character" w:customStyle="1" w:styleId="11">
    <w:name w:val="标题 3 Char"/>
    <w:basedOn w:val="9"/>
    <w:link w:val="5"/>
    <w:unhideWhenUsed/>
    <w:locked/>
    <w:uiPriority w:val="9"/>
    <w:rPr>
      <w:rFonts w:hint="default" w:ascii="Times New Roman" w:hAnsi="Times New Roman" w:eastAsia="宋体"/>
      <w:b/>
      <w:sz w:val="32"/>
      <w:szCs w:val="24"/>
    </w:rPr>
  </w:style>
  <w:style w:type="character" w:customStyle="1" w:styleId="12">
    <w:name w:val="页眉 Char"/>
    <w:basedOn w:val="9"/>
    <w:link w:val="7"/>
    <w:unhideWhenUsed/>
    <w:locked/>
    <w:uiPriority w:val="99"/>
    <w:rPr>
      <w:rFonts w:hint="default" w:ascii="Arial" w:hAnsi="Times New Roman" w:eastAsia="宋体"/>
      <w:color w:val="000000"/>
      <w:sz w:val="18"/>
      <w:szCs w:val="24"/>
    </w:rPr>
  </w:style>
  <w:style w:type="character" w:customStyle="1" w:styleId="13">
    <w:name w:val="页脚 Char"/>
    <w:basedOn w:val="9"/>
    <w:link w:val="6"/>
    <w:unhideWhenUsed/>
    <w:locked/>
    <w:uiPriority w:val="99"/>
    <w:rPr>
      <w:rFonts w:hint="default" w:ascii="Arial" w:hAnsi="Times New Roman" w:eastAsia="宋体"/>
      <w:color w:val="000000"/>
      <w:sz w:val="18"/>
      <w:szCs w:val="24"/>
    </w:rPr>
  </w:style>
  <w:style w:type="character" w:customStyle="1" w:styleId="14">
    <w:name w:val="标题 1 Char"/>
    <w:basedOn w:val="9"/>
    <w:link w:val="3"/>
    <w:unhideWhenUsed/>
    <w:locked/>
    <w:uiPriority w:val="9"/>
    <w:rPr>
      <w:rFonts w:hint="default" w:ascii="Times New Roman" w:hAnsi="Times New Roman" w:eastAsia="宋体"/>
      <w:b/>
      <w:kern w:val="44"/>
      <w:sz w:val="4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Office_11.8.2.10422_F1E327BC-269C-435d-A152-05C5408002CA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2025-04-17T09:56:08Z</dcterms:created>
  <dc:creator>xjkp</dc:creator>
  <cp:lastModifiedBy>xjkp</cp:lastModifiedBy>
  <dcterms:modified xsi:type="dcterms:W3CDTF">2025-04-17T09:56:30Z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