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C5563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8"/>
        <w:tblW w:w="15306" w:type="dxa"/>
        <w:tblInd w:w="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6"/>
      </w:tblGrid>
      <w:tr w14:paraId="74C710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C8CAA25">
            <w:pPr>
              <w:spacing w:line="1125" w:lineRule="exact"/>
              <w:ind w:left="20"/>
              <w:jc w:val="center"/>
              <w:rPr>
                <w:rFonts w:ascii="微软雅黑" w:hAnsi="Times New Roman" w:eastAsia="微软雅黑" w:cs="微软雅黑"/>
                <w:b/>
                <w:bCs/>
                <w:sz w:val="84"/>
                <w:szCs w:val="84"/>
              </w:rPr>
            </w:pPr>
            <w:r>
              <w:rPr>
                <w:rFonts w:hint="eastAsia" w:ascii="微软雅黑" w:hAnsi="Times New Roman" w:eastAsia="微软雅黑" w:cs="微软雅黑"/>
                <w:b/>
                <w:bCs/>
                <w:sz w:val="84"/>
                <w:szCs w:val="84"/>
              </w:rPr>
              <w:t>岳阳市市场监督管理局城陵矶新港区分局</w:t>
            </w:r>
            <w:r>
              <w:rPr>
                <w:rFonts w:ascii="微软雅黑" w:hAnsi="Times New Roman" w:eastAsia="微软雅黑" w:cs="微软雅黑"/>
                <w:b/>
                <w:bCs/>
                <w:sz w:val="84"/>
                <w:szCs w:val="84"/>
              </w:rPr>
              <w:t>2025</w:t>
            </w:r>
            <w:r>
              <w:rPr>
                <w:rFonts w:hint="eastAsia" w:ascii="微软雅黑" w:hAnsi="Times New Roman" w:eastAsia="微软雅黑" w:cs="微软雅黑"/>
                <w:b/>
                <w:bCs/>
                <w:sz w:val="84"/>
                <w:szCs w:val="84"/>
              </w:rPr>
              <w:t>年度</w:t>
            </w:r>
          </w:p>
          <w:p w14:paraId="78664B85">
            <w:pPr>
              <w:spacing w:line="1125" w:lineRule="exact"/>
              <w:ind w:left="20"/>
              <w:jc w:val="center"/>
              <w:rPr>
                <w:rFonts w:ascii="微软雅黑" w:hAnsi="Times New Roman" w:eastAsia="微软雅黑" w:cs="微软雅黑"/>
                <w:sz w:val="84"/>
                <w:szCs w:val="84"/>
              </w:rPr>
            </w:pPr>
            <w:r>
              <w:rPr>
                <w:rFonts w:hint="eastAsia" w:ascii="微软雅黑" w:hAnsi="Times New Roman" w:eastAsia="微软雅黑" w:cs="微软雅黑"/>
                <w:b/>
                <w:bCs/>
                <w:sz w:val="84"/>
                <w:szCs w:val="84"/>
              </w:rPr>
              <w:t>单位预算</w:t>
            </w:r>
          </w:p>
        </w:tc>
      </w:tr>
      <w:tr w14:paraId="36F174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0FC87DD0">
            <w:pPr>
              <w:spacing w:line="525" w:lineRule="exact"/>
              <w:ind w:left="20"/>
              <w:jc w:val="center"/>
              <w:rPr>
                <w:rFonts w:ascii="Dialog" w:hAnsi="Times New Roman" w:eastAsia="Dialog" w:cs="Dialog"/>
                <w:sz w:val="44"/>
                <w:szCs w:val="44"/>
              </w:rPr>
            </w:pPr>
            <w:r>
              <w:rPr>
                <w:rFonts w:hint="eastAsia" w:ascii="Dialog" w:hAnsi="Times New Roman" w:eastAsia="Dialog" w:cs="Dialog"/>
                <w:sz w:val="44"/>
                <w:szCs w:val="44"/>
              </w:rPr>
              <w:t>目录</w:t>
            </w:r>
          </w:p>
        </w:tc>
      </w:tr>
      <w:tr w14:paraId="0E1A57C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vAlign w:val="center"/>
          </w:tcPr>
          <w:p w14:paraId="763AB2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7DC2E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1F67068D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第一部分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2025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年单位预算说明</w:t>
            </w:r>
          </w:p>
        </w:tc>
      </w:tr>
      <w:tr w14:paraId="509158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6F517350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第二部分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2025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年单位预算公开表格</w:t>
            </w:r>
          </w:p>
        </w:tc>
      </w:tr>
      <w:tr w14:paraId="5C1DE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2D92CDE9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、收支总表</w:t>
            </w:r>
          </w:p>
        </w:tc>
      </w:tr>
      <w:tr w14:paraId="126134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0FB7E90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2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、收入总表</w:t>
            </w:r>
          </w:p>
        </w:tc>
      </w:tr>
      <w:tr w14:paraId="4F894E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02D65B8B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、支出总表</w:t>
            </w:r>
          </w:p>
        </w:tc>
      </w:tr>
      <w:tr w14:paraId="0B8FBCB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61B40645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4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、支出预算分类汇总表（按政府预算经济分类）</w:t>
            </w:r>
          </w:p>
        </w:tc>
      </w:tr>
      <w:tr w14:paraId="1CDCFC9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1F523B3F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5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、支出预算分类汇总表（按部门预算经济分类）</w:t>
            </w:r>
          </w:p>
        </w:tc>
      </w:tr>
      <w:tr w14:paraId="47F4549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48AA9A9A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6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、财政拨款收支总表</w:t>
            </w:r>
          </w:p>
        </w:tc>
      </w:tr>
      <w:tr w14:paraId="238BF94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18B018BC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7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、一般公共预算支出表</w:t>
            </w:r>
          </w:p>
        </w:tc>
      </w:tr>
      <w:tr w14:paraId="0453769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27892F52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8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-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人员经费（工资福利支出）（按政府预算经济分类）</w:t>
            </w:r>
          </w:p>
        </w:tc>
      </w:tr>
      <w:tr w14:paraId="5F4D885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571D5B04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9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-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人员经费（工资福利支出）（按部门预算经济分类）</w:t>
            </w:r>
          </w:p>
        </w:tc>
      </w:tr>
      <w:tr w14:paraId="00FF7F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83A8925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-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人员经费（对个人和家庭的补助）（按政府预算经济分类）</w:t>
            </w:r>
          </w:p>
        </w:tc>
      </w:tr>
      <w:tr w14:paraId="0D5DB86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65408822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11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-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人员经费（对个人和家庭的补助）（按部门预算经济分类）</w:t>
            </w:r>
          </w:p>
        </w:tc>
      </w:tr>
      <w:tr w14:paraId="2EE1D6A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7A17B5AA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12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-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公用经费（商品和服务支出）（按政府预算经济分类）</w:t>
            </w:r>
          </w:p>
        </w:tc>
      </w:tr>
      <w:tr w14:paraId="2FD9639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AF39820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>-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公用经费（商品和服务支出）（按部门预算经济分类）</w:t>
            </w:r>
          </w:p>
        </w:tc>
      </w:tr>
      <w:tr w14:paraId="52470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5F103F1F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14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、一般公共预算“三公”经费支出表</w:t>
            </w:r>
          </w:p>
        </w:tc>
      </w:tr>
      <w:tr w14:paraId="4CA38C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9BAE053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15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、政府性基金预算支出表</w:t>
            </w:r>
          </w:p>
        </w:tc>
      </w:tr>
      <w:tr w14:paraId="27C096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0B0C0ACC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16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、政府性基金预算支出分类汇总表（按政府预算经济分类）</w:t>
            </w:r>
          </w:p>
        </w:tc>
      </w:tr>
      <w:tr w14:paraId="1D3FCD2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0BA7C838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17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、政府性基金预算支出分类汇总表（按部门预算经济分类）</w:t>
            </w:r>
          </w:p>
        </w:tc>
      </w:tr>
      <w:tr w14:paraId="048342F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0C73EAD3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18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、国有资本经营预算支出表</w:t>
            </w:r>
          </w:p>
        </w:tc>
      </w:tr>
      <w:tr w14:paraId="2F4717A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00C30809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19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、财政专户管理资金预算支出表</w:t>
            </w:r>
          </w:p>
        </w:tc>
      </w:tr>
      <w:tr w14:paraId="0B3D7A4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AAC9EA3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20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、专项资金预算汇总表</w:t>
            </w:r>
          </w:p>
        </w:tc>
      </w:tr>
      <w:tr w14:paraId="53A2A7D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E6A68C8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21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、项目支出绩效目标表</w:t>
            </w:r>
          </w:p>
        </w:tc>
      </w:tr>
      <w:tr w14:paraId="2867289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6701862B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22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、单位整体支出绩效目标表</w:t>
            </w:r>
          </w:p>
        </w:tc>
      </w:tr>
      <w:tr w14:paraId="4C5C65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62D0B648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>23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、一般公共预算基本支出表</w:t>
            </w:r>
          </w:p>
        </w:tc>
      </w:tr>
      <w:tr w14:paraId="374B68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00E7A6DE">
            <w:pPr>
              <w:spacing w:line="375" w:lineRule="exact"/>
              <w:ind w:left="20"/>
              <w:rPr>
                <w:rFonts w:ascii="Dialog" w:hAnsi="Times New Roman" w:eastAsia="Dialog" w:cs="Dialog"/>
                <w:color w:val="FF0000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color w:val="FF0000"/>
                <w:sz w:val="32"/>
                <w:szCs w:val="32"/>
              </w:rPr>
              <w:t>注：以上单位预算公开报表中，空表表示本单位无相关收支情况。</w:t>
            </w:r>
          </w:p>
        </w:tc>
      </w:tr>
      <w:tr w14:paraId="6711B68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vAlign w:val="center"/>
          </w:tcPr>
          <w:p w14:paraId="1844398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C5C72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vAlign w:val="center"/>
          </w:tcPr>
          <w:p w14:paraId="4674B62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7BDFB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275D2507">
            <w:pPr>
              <w:spacing w:line="375" w:lineRule="exact"/>
              <w:ind w:left="20"/>
              <w:jc w:val="center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第一部分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2025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年单位预算说明</w:t>
            </w:r>
          </w:p>
        </w:tc>
      </w:tr>
      <w:tr w14:paraId="78F2C0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vAlign w:val="center"/>
          </w:tcPr>
          <w:p w14:paraId="7D26879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ED39B4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59202CEC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一、单位基本概况</w:t>
            </w:r>
          </w:p>
        </w:tc>
      </w:tr>
      <w:tr w14:paraId="3F5C2B4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4141138D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（一）职能职责</w:t>
            </w:r>
          </w:p>
        </w:tc>
      </w:tr>
      <w:tr w14:paraId="716DD62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550B10D3">
            <w:pPr>
              <w:spacing w:line="375" w:lineRule="exact"/>
              <w:ind w:left="20" w:firstLine="640" w:firstLineChars="20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hint="eastAsia" w:eastAsia="仿宋_GB2312" w:cs="仿宋_GB2312"/>
                <w:sz w:val="32"/>
                <w:szCs w:val="32"/>
              </w:rPr>
              <w:t>承</w:t>
            </w:r>
            <w:r>
              <w:rPr>
                <w:rFonts w:hint="eastAsia" w:ascii="宋体" w:hAnsi="Times New Roman" w:cs="宋体"/>
                <w:sz w:val="32"/>
                <w:szCs w:val="32"/>
              </w:rPr>
              <w:t>担岳阳市市场监管局委托的辖区内市场监管职责；完成岳阳市市场监管局、区委（工委）和区政府（管委会）交办的其他工作。</w:t>
            </w:r>
          </w:p>
        </w:tc>
      </w:tr>
      <w:tr w14:paraId="5D141B0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0D2D29E0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（二）机构设置</w:t>
            </w:r>
          </w:p>
        </w:tc>
      </w:tr>
      <w:tr w14:paraId="5691617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18A7462">
            <w:pPr>
              <w:bidi w:val="0"/>
              <w:ind w:firstLine="640" w:firstLineChars="200"/>
              <w:rPr>
                <w:rFonts w:ascii="宋体" w:hAnsi="Times New Roman" w:eastAsia="宋体" w:cs="宋体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独立编制、核算机构数 1 个，核定人员编制 18名，现有在职1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/>
                <w:sz w:val="32"/>
                <w:szCs w:val="32"/>
              </w:rPr>
              <w:t>人、退休1人，为正科级行政单位。内设机构：行政综合办公室、综合业务股、登记注册和信息化股、市场监管所。</w:t>
            </w:r>
          </w:p>
        </w:tc>
      </w:tr>
      <w:tr w14:paraId="7C0B695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176F177B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二、单位预算单位构成</w:t>
            </w:r>
          </w:p>
        </w:tc>
      </w:tr>
      <w:tr w14:paraId="0B087DE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57028A84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本单位预算仅含本级预算。</w:t>
            </w:r>
          </w:p>
        </w:tc>
      </w:tr>
      <w:tr w14:paraId="10AAA9B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2683234B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三、单位收支总体情况</w:t>
            </w:r>
          </w:p>
        </w:tc>
      </w:tr>
      <w:tr w14:paraId="39226B3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7E65DAD4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本单位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16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17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表均为空。</w:t>
            </w:r>
          </w:p>
        </w:tc>
      </w:tr>
      <w:tr w14:paraId="30C7077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2A0D1B4B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（一）收入预算</w:t>
            </w:r>
          </w:p>
        </w:tc>
      </w:tr>
      <w:tr w14:paraId="7D79CF5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6FC10FDE">
            <w:pPr>
              <w:spacing w:line="375" w:lineRule="exact"/>
              <w:ind w:left="20"/>
              <w:rPr>
                <w:rFonts w:hint="default" w:ascii="宋体" w:hAnsi="Times New Roman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年度本单位收入预算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250.89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万元，其中，一般公共预算拨款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250.89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万元，政府性基金预算资金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(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所以公开的附件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17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为空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)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，国有资本经营预算资金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(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所以公开的附件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为空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)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，财政专户管理资金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(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所以公开的附件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为空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)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，上级补助收入资金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万元，事业单位经营收入资金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万元，上年结转结余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万元。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(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数据来源见表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2)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本单位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年收入较去年减少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13.49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万元，主要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原因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是因为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在职减少（调出）1人。</w:t>
            </w:r>
          </w:p>
        </w:tc>
      </w:tr>
      <w:tr w14:paraId="25EE356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68B37EB7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（二）支出预算</w:t>
            </w:r>
          </w:p>
        </w:tc>
      </w:tr>
      <w:tr w14:paraId="69E5C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55B8E0F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年本单位支出预算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250.89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万元，其中，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一般公共服务支出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192.81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社会保障和就业支出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24.73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210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卫生健康支出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17.05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221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住房保障支出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16.30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万元，支出较去年减少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13.49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万元，主要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原因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是因为因为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在职减少（调出）1人。</w:t>
            </w:r>
          </w:p>
        </w:tc>
      </w:tr>
      <w:tr w14:paraId="2AB576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7C1A63A2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四、一般公共预算拨款支出预算</w:t>
            </w:r>
          </w:p>
        </w:tc>
      </w:tr>
      <w:tr w14:paraId="61225F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1EF3F9C3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年一般公共预算拨款支出预算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250.89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万元，其中，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一般公共服务支出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192.81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万元，占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76.85%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；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社会保障和就业支出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24.73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万元，占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9.86%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；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210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卫生健康支出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17.05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万元，占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6.8%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；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221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住房保障支出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16.30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万元，占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6.5%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；具体安排情况如下：</w:t>
            </w:r>
          </w:p>
        </w:tc>
      </w:tr>
      <w:tr w14:paraId="6A9303C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65BF1BD9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（一）基本支出：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年基本支出年初预算数为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250.89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万元（数据来源见表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14:paraId="3A693E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1CA97826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（二）项目支出：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年项目支出年初预算数为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万元（数据来源见表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），是指单位为完成特定行政工作任务或事业发展目标而发生的支出，包括有关业务工作经费、运行维护经费、其他事业发展资金等。本单位当年无项目支出。</w:t>
            </w:r>
          </w:p>
        </w:tc>
      </w:tr>
      <w:tr w14:paraId="51F03CB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B46326D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五、政府性基金预算支出</w:t>
            </w:r>
          </w:p>
        </w:tc>
      </w:tr>
      <w:tr w14:paraId="082DF1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79BE8276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年度本单位无政府性基金安排的支出，所以公开的附件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15-17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（政府性基金预算）为空。</w:t>
            </w:r>
          </w:p>
        </w:tc>
      </w:tr>
      <w:tr w14:paraId="6F05B66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274D7B5C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六、其他重要事项的情况说明</w:t>
            </w:r>
          </w:p>
        </w:tc>
      </w:tr>
      <w:tr w14:paraId="254D5B5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6715285E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（一）机关运行经费</w:t>
            </w:r>
          </w:p>
        </w:tc>
      </w:tr>
      <w:tr w14:paraId="554B1E5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06251B92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本单位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年机关运行经费当年一般公共预算拨款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40.18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万元（数据来源见表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），比上一年减少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3.67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万元，降低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8.36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%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。主要原因是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岳阳市市直行政事业单位公务用车集中管理改革，公务车辆交由岳阳市机关事务局统一管理，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公务用车运行费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减少3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在职减少（调出）1人，</w:t>
            </w:r>
            <w:r>
              <w:rPr>
                <w:rFonts w:hint="eastAsia" w:ascii="宋体" w:hAnsi="Times New Roman" w:cs="宋体"/>
                <w:sz w:val="32"/>
                <w:szCs w:val="32"/>
              </w:rPr>
              <w:t>公用经费、其他交通费用等减少。</w:t>
            </w:r>
          </w:p>
        </w:tc>
      </w:tr>
      <w:tr w14:paraId="6508FAB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440BD2D1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（二）“三公”经费预算</w:t>
            </w:r>
          </w:p>
        </w:tc>
      </w:tr>
      <w:tr w14:paraId="164AF69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20E30FB0">
            <w:pPr>
              <w:spacing w:line="375" w:lineRule="exact"/>
              <w:ind w:left="20"/>
              <w:rPr>
                <w:rFonts w:hint="eastAsia" w:ascii="宋体" w:hAnsi="Times New Roman" w:eastAsia="宋体" w:cs="宋体"/>
                <w:sz w:val="32"/>
                <w:szCs w:val="32"/>
                <w:lang w:eastAsia="zh-CN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本单位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年“三公”经费预算数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万元（数据来源见表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14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），其中，公务接待费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万元，因公出国（境）费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万元，公务用车购置及运行费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万元（其中，公务用车购置费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万元，公务用车运行费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万元）。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年三公经费预算较上年减少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万元，主要原因是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岳阳市市直行政事业单位公务用车集中管理改革，公务车辆交由岳阳市机关事务局统一管理，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公务用车运行费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减少3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eastAsia="zh-CN"/>
              </w:rPr>
              <w:t>。</w:t>
            </w:r>
          </w:p>
        </w:tc>
      </w:tr>
      <w:tr w14:paraId="786AF72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76655133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（三）一般性支出情况</w:t>
            </w:r>
          </w:p>
        </w:tc>
      </w:tr>
      <w:tr w14:paraId="73085CB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D339633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本单位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年会议费预算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0.50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万元（数据来源见表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会议费、培训费），</w:t>
            </w:r>
            <w:r>
              <w:rPr>
                <w:rFonts w:hint="eastAsia" w:ascii="宋体" w:hAnsi="Times New Roman" w:cs="宋体"/>
                <w:sz w:val="32"/>
                <w:szCs w:val="32"/>
              </w:rPr>
              <w:t>拟召开2次会议，人数60人，内容为为食品安全、知识产权、特种设备、企业年报会议；培训费预算1.00万元，拟开展1次培训，人数100人，内容为为食品安全、知识产权、特种设备等业务培训；202</w:t>
            </w:r>
            <w:r>
              <w:rPr>
                <w:rFonts w:hint="eastAsia" w:ascii="宋体" w:hAnsi="Times New Roman" w:cs="宋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宋体" w:hAnsi="Times New Roman" w:cs="宋体"/>
                <w:sz w:val="32"/>
                <w:szCs w:val="32"/>
              </w:rPr>
              <w:t>年度本单位未计划安排会议、培训，未计划举办节庆、晚会、论坛、赛事活动。</w:t>
            </w:r>
          </w:p>
        </w:tc>
      </w:tr>
      <w:tr w14:paraId="0B2C09F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5AF86490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（四）政府采购情况</w:t>
            </w:r>
          </w:p>
        </w:tc>
      </w:tr>
      <w:tr w14:paraId="3BC789D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49471D79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本单位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年政府采购预算总额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109.91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万元，其中工程类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万元，货物类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24.44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万元，服务类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85.47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万元。</w:t>
            </w:r>
          </w:p>
        </w:tc>
      </w:tr>
      <w:tr w14:paraId="6CC6B3B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1EA445BB">
            <w:pPr>
              <w:spacing w:line="375" w:lineRule="exact"/>
              <w:ind w:firstLine="320" w:firstLineChars="100"/>
              <w:rPr>
                <w:rFonts w:hint="eastAsia" w:ascii="宋体" w:hAnsi="Times New Roman" w:eastAsia="宋体" w:cs="宋体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</w:t>
            </w:r>
            <w:r>
              <w:rPr>
                <w:rFonts w:hint="eastAsia" w:ascii="Dialog" w:hAnsi="Times New Roman" w:eastAsia="Dialog" w:cs="Dialog"/>
                <w:sz w:val="32"/>
                <w:szCs w:val="32"/>
                <w:lang w:val="en-US" w:eastAsia="zh-CN"/>
              </w:rPr>
              <w:t>五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）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国有资产占有使用及新增资产配置情况</w:t>
            </w:r>
          </w:p>
          <w:p w14:paraId="087F1276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截至上年底，本单位共有车辆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辆，其中领导干部用车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辆，一般公务用车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辆，其他用车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辆。单位价值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50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万元以上通用设备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台，单位价值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100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万元以上专用设备</w:t>
            </w:r>
            <w:r>
              <w:rPr>
                <w:rFonts w:hint="eastAsia" w:ascii="宋体" w:hAnsi="Times New Roman" w:eastAsia="宋体" w:cs="宋体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台。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</w:t>
            </w:r>
          </w:p>
          <w:p w14:paraId="35A15655">
            <w:pPr>
              <w:spacing w:line="375" w:lineRule="exact"/>
              <w:ind w:left="20"/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年度本单位未计划处置或新增车辆、设备等。</w:t>
            </w:r>
          </w:p>
        </w:tc>
      </w:tr>
      <w:tr w14:paraId="41E2E0D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7EA07CEF">
            <w:pPr>
              <w:spacing w:line="375" w:lineRule="exact"/>
              <w:ind w:firstLine="320" w:firstLineChars="100"/>
              <w:rPr>
                <w:rFonts w:ascii="Dialog" w:hAnsi="Times New Roman" w:eastAsia="Dialog" w:cs="Dialog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sz w:val="32"/>
                <w:szCs w:val="32"/>
              </w:rPr>
              <w:t>（六）预算绩效目标说明</w:t>
            </w:r>
          </w:p>
        </w:tc>
      </w:tr>
      <w:tr w14:paraId="40ED505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7F38ED7C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本单位所有支出实行绩效目标管理。纳入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2025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年单位整体支出绩效目标的金额为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250.89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万元，其中，基本支出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250.89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万元，项目支出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0.00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万元，详见文尾附表中单位预算公开表格的表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21-22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。</w:t>
            </w:r>
          </w:p>
        </w:tc>
      </w:tr>
      <w:tr w14:paraId="3CFA1B1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4991C9CF">
            <w:pPr>
              <w:spacing w:line="375" w:lineRule="exact"/>
              <w:ind w:left="20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七、名词解释</w:t>
            </w:r>
          </w:p>
        </w:tc>
      </w:tr>
      <w:tr w14:paraId="366B98B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0F0CB061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 w14:paraId="710609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03A3C551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 xml:space="preserve">  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 w14:paraId="438B602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vAlign w:val="center"/>
          </w:tcPr>
          <w:p w14:paraId="7B0B4D9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08D046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vAlign w:val="center"/>
          </w:tcPr>
          <w:p w14:paraId="67C41FD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208DE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vAlign w:val="center"/>
          </w:tcPr>
          <w:p w14:paraId="0CF3CA85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5F101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18CA484C">
            <w:pPr>
              <w:spacing w:line="375" w:lineRule="exact"/>
              <w:ind w:left="20"/>
              <w:jc w:val="center"/>
              <w:rPr>
                <w:rFonts w:ascii="Dialog" w:hAnsi="Times New Roman" w:eastAsia="Dialog" w:cs="Dialog"/>
                <w:sz w:val="32"/>
                <w:szCs w:val="32"/>
              </w:rPr>
            </w:pP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第二部分</w:t>
            </w:r>
            <w:r>
              <w:rPr>
                <w:rFonts w:ascii="Dialog" w:hAnsi="Times New Roman" w:eastAsia="Dialog" w:cs="Dialog"/>
                <w:sz w:val="32"/>
                <w:szCs w:val="32"/>
              </w:rPr>
              <w:t xml:space="preserve">  2025</w:t>
            </w:r>
            <w:r>
              <w:rPr>
                <w:rFonts w:hint="eastAsia" w:ascii="Dialog" w:hAnsi="Times New Roman" w:eastAsia="Dialog" w:cs="Dialog"/>
                <w:sz w:val="32"/>
                <w:szCs w:val="32"/>
              </w:rPr>
              <w:t>年单位预算公开表格</w:t>
            </w:r>
          </w:p>
        </w:tc>
      </w:tr>
      <w:tr w14:paraId="2DBC778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25EE1D2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、收支总表</w:t>
            </w:r>
          </w:p>
        </w:tc>
      </w:tr>
      <w:tr w14:paraId="13B4A76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FB42A0C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、收入总表</w:t>
            </w:r>
          </w:p>
        </w:tc>
      </w:tr>
      <w:tr w14:paraId="756F7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14135EEB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、支出总表</w:t>
            </w:r>
          </w:p>
        </w:tc>
      </w:tr>
      <w:tr w14:paraId="3FACFC7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70853A62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4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、支出预算分类汇总表（按政府预算经济分类）</w:t>
            </w:r>
          </w:p>
        </w:tc>
      </w:tr>
      <w:tr w14:paraId="57B890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60E8A00D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、支出预算分类汇总表（按部门预算经济分类）</w:t>
            </w:r>
          </w:p>
        </w:tc>
      </w:tr>
      <w:tr w14:paraId="45B599A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5B12F3F9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6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、财政拨款收支总表</w:t>
            </w:r>
          </w:p>
        </w:tc>
      </w:tr>
      <w:tr w14:paraId="457444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7B81AE69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7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、一般公共预算支出表</w:t>
            </w:r>
          </w:p>
        </w:tc>
      </w:tr>
      <w:tr w14:paraId="43F75E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7F7B5B31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-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人员经费（工资福利支出）（按政府预算经济分类）</w:t>
            </w:r>
          </w:p>
        </w:tc>
      </w:tr>
      <w:tr w14:paraId="3B58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18685771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-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人员经费（工资福利支出）（按部门预算经济分类）</w:t>
            </w:r>
          </w:p>
        </w:tc>
      </w:tr>
      <w:tr w14:paraId="18414E5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7BC66794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-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人员经费（对个人和家庭的补助）（按政府预算经济分类）</w:t>
            </w:r>
          </w:p>
        </w:tc>
      </w:tr>
      <w:tr w14:paraId="68CF01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5589B745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-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人员经费（对个人和家庭的补助）（按部门预算经济分类）</w:t>
            </w:r>
          </w:p>
        </w:tc>
      </w:tr>
      <w:tr w14:paraId="1FAE43C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424626A0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-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公用经费（商品和服务支出）（按政府预算经济分类）</w:t>
            </w:r>
          </w:p>
        </w:tc>
      </w:tr>
      <w:tr w14:paraId="7A9F955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513EBEEF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  <w:r>
              <w:rPr>
                <w:rFonts w:ascii="宋体" w:hAnsi="Times New Roman" w:eastAsia="宋体" w:cs="宋体"/>
                <w:sz w:val="32"/>
                <w:szCs w:val="32"/>
              </w:rPr>
              <w:t>-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公用经费（商品和服务支出）（按部门预算经济分类）</w:t>
            </w:r>
          </w:p>
        </w:tc>
      </w:tr>
      <w:tr w14:paraId="59484A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2AFEEE62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14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、一般公共预算“三公”经费支出表</w:t>
            </w:r>
          </w:p>
        </w:tc>
      </w:tr>
      <w:tr w14:paraId="661D1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8CF90B0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15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、政府性基金预算支出表</w:t>
            </w:r>
          </w:p>
        </w:tc>
      </w:tr>
      <w:tr w14:paraId="54094B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2CFC2A0D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16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、政府性基金预算支出分类汇总表（按政府预算经济分类）</w:t>
            </w:r>
          </w:p>
        </w:tc>
      </w:tr>
      <w:tr w14:paraId="3EF8A9A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33C0A13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17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、政府性基金预算支出分类汇总表（按部门预算经济分类）</w:t>
            </w:r>
          </w:p>
        </w:tc>
      </w:tr>
      <w:tr w14:paraId="1984E44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74AF47DB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18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、国有资本经营预算支出表</w:t>
            </w:r>
          </w:p>
        </w:tc>
      </w:tr>
      <w:tr w14:paraId="288E8AC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66EAF7F0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19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、财政专户管理资金预算支出表</w:t>
            </w:r>
          </w:p>
        </w:tc>
      </w:tr>
      <w:tr w14:paraId="3F7C029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15F7121A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20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、专项资金预算汇总表</w:t>
            </w:r>
          </w:p>
        </w:tc>
      </w:tr>
      <w:tr w14:paraId="3CAC6F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86AD3FB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21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、项目支出绩效目标表</w:t>
            </w:r>
          </w:p>
        </w:tc>
      </w:tr>
      <w:tr w14:paraId="2827B7E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1397C9A6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22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、单位整体支出绩效目标表</w:t>
            </w:r>
          </w:p>
        </w:tc>
      </w:tr>
      <w:tr w14:paraId="551964B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857B798">
            <w:pPr>
              <w:spacing w:line="375" w:lineRule="exact"/>
              <w:ind w:left="20"/>
              <w:rPr>
                <w:rFonts w:ascii="宋体" w:hAnsi="Times New Roman" w:eastAsia="宋体" w:cs="宋体"/>
                <w:sz w:val="32"/>
                <w:szCs w:val="32"/>
              </w:rPr>
            </w:pPr>
            <w:r>
              <w:rPr>
                <w:rFonts w:ascii="宋体" w:hAnsi="Times New Roman" w:eastAsia="宋体" w:cs="宋体"/>
                <w:sz w:val="32"/>
                <w:szCs w:val="32"/>
              </w:rPr>
              <w:t>23</w:t>
            </w:r>
            <w:r>
              <w:rPr>
                <w:rFonts w:hint="eastAsia" w:ascii="宋体" w:hAnsi="Times New Roman" w:eastAsia="宋体" w:cs="宋体"/>
                <w:sz w:val="32"/>
                <w:szCs w:val="32"/>
              </w:rPr>
              <w:t>、一般公共预算基本支出表</w:t>
            </w:r>
          </w:p>
        </w:tc>
      </w:tr>
      <w:tr w14:paraId="05BF452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68C18D24">
            <w:pPr>
              <w:spacing w:line="375" w:lineRule="exact"/>
              <w:ind w:left="20"/>
              <w:rPr>
                <w:rFonts w:ascii="宋体" w:hAnsi="Times New Roman" w:eastAsia="宋体" w:cs="宋体"/>
                <w:color w:val="FF0000"/>
                <w:sz w:val="32"/>
                <w:szCs w:val="32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FF0000"/>
                <w:sz w:val="32"/>
                <w:szCs w:val="32"/>
              </w:rPr>
              <w:t>注：以上单位预算公开报表中，空表表示本单位无相关收支情况。</w:t>
            </w:r>
          </w:p>
        </w:tc>
      </w:tr>
    </w:tbl>
    <w:p w14:paraId="3DFEDE43"/>
    <w:sectPr>
      <w:pgSz w:w="18708" w:h="15840"/>
      <w:pgMar w:top="388" w:right="1080" w:bottom="388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_GB2312">
    <w:panose1 w:val="02010600030101010101"/>
    <w:charset w:val="86"/>
    <w:family w:val="auto"/>
    <w:pitch w:val="default"/>
    <w:sig w:usb0="800002BF" w:usb1="28CF7CFA" w:usb2="00000016" w:usb3="00000000" w:csb0="6016019D" w:csb1="D3F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62D3"/>
    <w:rsid w:val="00432C74"/>
    <w:rsid w:val="005E62D3"/>
    <w:rsid w:val="00945375"/>
    <w:rsid w:val="00E3709A"/>
    <w:rsid w:val="00FC173D"/>
    <w:rsid w:val="0DE6588E"/>
    <w:rsid w:val="114750FC"/>
    <w:rsid w:val="14926B19"/>
    <w:rsid w:val="22631AF5"/>
    <w:rsid w:val="2C682200"/>
    <w:rsid w:val="552C5BF2"/>
    <w:rsid w:val="59F667CF"/>
    <w:rsid w:val="5B3A26EB"/>
    <w:rsid w:val="75A0479F"/>
    <w:rsid w:val="7C9B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99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9"/>
    <w:pPr>
      <w:outlineLvl w:val="0"/>
    </w:pPr>
    <w:rPr>
      <w:b/>
      <w:bCs/>
      <w:sz w:val="32"/>
      <w:szCs w:val="32"/>
    </w:rPr>
  </w:style>
  <w:style w:type="paragraph" w:styleId="4">
    <w:name w:val="heading 2"/>
    <w:basedOn w:val="1"/>
    <w:next w:val="1"/>
    <w:link w:val="11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12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 w:beforeLines="0" w:after="200" w:afterLines="0" w:line="276" w:lineRule="auto"/>
    </w:pPr>
    <w:rPr>
      <w:rFonts w:hint="eastAsia" w:ascii="Arial" w:hAnsi="Arial"/>
      <w:sz w:val="24"/>
      <w:szCs w:val="24"/>
    </w:rPr>
  </w:style>
  <w:style w:type="paragraph" w:styleId="6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Char"/>
    <w:basedOn w:val="9"/>
    <w:link w:val="3"/>
    <w:qFormat/>
    <w:uiPriority w:val="9"/>
    <w:rPr>
      <w:b/>
      <w:bCs/>
      <w:kern w:val="44"/>
      <w:sz w:val="44"/>
      <w:szCs w:val="44"/>
    </w:rPr>
  </w:style>
  <w:style w:type="character" w:customStyle="1" w:styleId="11">
    <w:name w:val="标题 2 Char"/>
    <w:basedOn w:val="9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标题 3 Char"/>
    <w:basedOn w:val="9"/>
    <w:link w:val="5"/>
    <w:semiHidden/>
    <w:qFormat/>
    <w:uiPriority w:val="9"/>
    <w:rPr>
      <w:b/>
      <w:bCs/>
      <w:sz w:val="32"/>
      <w:szCs w:val="32"/>
    </w:rPr>
  </w:style>
  <w:style w:type="character" w:customStyle="1" w:styleId="13">
    <w:name w:val="页眉 Char"/>
    <w:basedOn w:val="9"/>
    <w:link w:val="7"/>
    <w:semiHidden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4">
    <w:name w:val="页脚 Char"/>
    <w:basedOn w:val="9"/>
    <w:link w:val="6"/>
    <w:semiHidden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3731;&#38451;&#24066;&#26412;&#32423;&#21333;&#20301;&#20844;&#24320;&#35828;&#26126;%20(2025)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岳阳市本级单位公开说明 (2025).dotx</Template>
  <Company>Microsoft</Company>
  <Pages>4</Pages>
  <Words>3122</Words>
  <Characters>3426</Characters>
  <Lines>26</Lines>
  <Paragraphs>7</Paragraphs>
  <TotalTime>1</TotalTime>
  <ScaleCrop>false</ScaleCrop>
  <LinksUpToDate>false</LinksUpToDate>
  <CharactersWithSpaces>3502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2025-04-07T04:26:00Z</dcterms:created>
  <dc:creator>Administrator</dc:creator>
  <cp:lastModifiedBy>谢辉红</cp:lastModifiedBy>
  <dcterms:modified xsi:type="dcterms:W3CDTF">2025-04-08T01:33:36Z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eyJoZGlkIjoiMDhiMjMzN2ViZjY0MjY3MzljZmI3MzBhNDgzNTE0ZmUiLCJ1c2VySWQiOiIxMDQ1NzU2MzIxIn0=</vt:lpwstr>
  </property>
  <property fmtid="{D5CDD505-2E9C-101B-9397-08002B2CF9AE}" pid="3" name="KSOProductBuildVer">
    <vt:lpwstr>2052-12.1.0.20305</vt:lpwstr>
  </property>
  <property fmtid="{D5CDD505-2E9C-101B-9397-08002B2CF9AE}" pid="4" name="ICV">
    <vt:lpwstr>36FEFACC758348A898D01A590D0DECF4_12</vt:lpwstr>
  </property>
</Properties>
</file>