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_GBK" w:cs="Times New Roman"/>
          <w:sz w:val="52"/>
          <w:szCs w:val="52"/>
          <w:highlight w:val="none"/>
        </w:rPr>
      </w:pPr>
    </w:p>
    <w:p>
      <w:pPr>
        <w:pStyle w:val="2"/>
        <w:rPr>
          <w:rFonts w:hint="default" w:ascii="Times New Roman" w:hAnsi="Times New Roman" w:eastAsia="方正小标宋_GBK" w:cs="Times New Roman"/>
          <w:sz w:val="52"/>
          <w:szCs w:val="52"/>
          <w:highlight w:val="none"/>
        </w:rPr>
      </w:pPr>
    </w:p>
    <w:p>
      <w:pPr>
        <w:rPr>
          <w:rFonts w:hint="default" w:ascii="Times New Roman" w:hAnsi="Times New Roman" w:eastAsia="方正小标宋_GBK" w:cs="Times New Roman"/>
          <w:sz w:val="52"/>
          <w:szCs w:val="52"/>
          <w:highlight w:val="none"/>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highlight w:val="none"/>
        </w:rPr>
        <w:t>202</w:t>
      </w:r>
      <w:r>
        <w:rPr>
          <w:rFonts w:hint="default" w:ascii="Times New Roman" w:hAnsi="Times New Roman" w:eastAsia="方正小标宋简体" w:cs="Times New Roman"/>
          <w:sz w:val="44"/>
          <w:szCs w:val="44"/>
          <w:highlight w:val="none"/>
          <w:lang w:val="en-US" w:eastAsia="zh-CN"/>
        </w:rPr>
        <w:t>3</w:t>
      </w:r>
      <w:r>
        <w:rPr>
          <w:rFonts w:hint="default" w:ascii="Times New Roman" w:hAnsi="Times New Roman" w:eastAsia="方正小标宋简体" w:cs="Times New Roman"/>
          <w:sz w:val="44"/>
          <w:szCs w:val="44"/>
          <w:highlight w:val="none"/>
        </w:rPr>
        <w:t>年度</w:t>
      </w:r>
      <w:r>
        <w:rPr>
          <w:rFonts w:hint="default" w:ascii="Times New Roman" w:hAnsi="Times New Roman" w:eastAsia="方正小标宋简体" w:cs="Times New Roman"/>
          <w:sz w:val="44"/>
          <w:szCs w:val="44"/>
          <w:lang w:val="en-US" w:eastAsia="zh-CN"/>
        </w:rPr>
        <w:t>岳阳职业技术学院</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整体支出绩效自评报告</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_GBK" w:cs="Times New Roman"/>
          <w:b/>
          <w:sz w:val="52"/>
          <w:szCs w:val="5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_GB2312"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_GB2312"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_GB2312"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_GB2312"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_GB2312"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_GB2312" w:cs="Times New Roman"/>
          <w:b/>
          <w:sz w:val="32"/>
          <w:szCs w:val="32"/>
          <w:highlight w:val="none"/>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highlight w:val="none"/>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u w:val="single"/>
          <w:lang w:val="en-US" w:eastAsia="zh-CN"/>
        </w:rPr>
        <w:t>岳阳职业技术学院</w:t>
      </w:r>
      <w:r>
        <w:rPr>
          <w:rFonts w:hint="default" w:ascii="Times New Roman" w:hAnsi="Times New Roman" w:eastAsia="仿宋_GB2312" w:cs="Times New Roman"/>
          <w:sz w:val="32"/>
          <w:szCs w:val="32"/>
          <w:highlight w:val="none"/>
          <w:u w:val="single"/>
        </w:rPr>
        <w:t>（盖章）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 xml:space="preserve">年 </w:t>
      </w:r>
      <w:r>
        <w:rPr>
          <w:rFonts w:hint="default"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default" w:ascii="Times New Roman" w:hAnsi="Times New Roman" w:eastAsia="楷体_GB2312" w:cs="Times New Roman"/>
          <w:sz w:val="32"/>
          <w:szCs w:val="32"/>
          <w:highlight w:val="none"/>
          <w:lang w:val="en-US" w:eastAsia="zh-CN"/>
        </w:rPr>
        <w:t>30</w:t>
      </w:r>
      <w:r>
        <w:rPr>
          <w:rFonts w:hint="default" w:ascii="Times New Roman" w:hAnsi="Times New Roman" w:eastAsia="楷体_GB2312" w:cs="Times New Roman"/>
          <w:sz w:val="32"/>
          <w:szCs w:val="32"/>
          <w:highlight w:val="none"/>
        </w:rPr>
        <w:t>日</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仿宋_GB2312" w:cs="Times New Roman"/>
          <w:sz w:val="32"/>
          <w:szCs w:val="32"/>
          <w:highlight w:val="none"/>
        </w:rPr>
        <w:br w:type="page"/>
      </w:r>
      <w:r>
        <w:rPr>
          <w:rFonts w:hint="default" w:ascii="Times New Roman" w:hAnsi="Times New Roman" w:eastAsia="方正小标宋简体" w:cs="Times New Roman"/>
          <w:sz w:val="44"/>
          <w:szCs w:val="44"/>
          <w:highlight w:val="none"/>
        </w:rPr>
        <w:t>202</w:t>
      </w:r>
      <w:r>
        <w:rPr>
          <w:rFonts w:hint="default" w:ascii="Times New Roman" w:hAnsi="Times New Roman" w:eastAsia="方正小标宋简体" w:cs="Times New Roman"/>
          <w:sz w:val="44"/>
          <w:szCs w:val="44"/>
          <w:highlight w:val="none"/>
          <w:lang w:val="en-US" w:eastAsia="zh-CN"/>
        </w:rPr>
        <w:t>3</w:t>
      </w:r>
      <w:r>
        <w:rPr>
          <w:rFonts w:hint="default" w:ascii="Times New Roman" w:hAnsi="Times New Roman" w:eastAsia="方正小标宋简体" w:cs="Times New Roman"/>
          <w:sz w:val="44"/>
          <w:szCs w:val="44"/>
          <w:highlight w:val="none"/>
        </w:rPr>
        <w:t>年度</w:t>
      </w:r>
      <w:r>
        <w:rPr>
          <w:rFonts w:hint="default" w:ascii="Times New Roman" w:hAnsi="Times New Roman" w:eastAsia="方正小标宋简体" w:cs="Times New Roman"/>
          <w:sz w:val="44"/>
          <w:szCs w:val="44"/>
          <w:highlight w:val="none"/>
          <w:lang w:val="en-US" w:eastAsia="zh-CN"/>
        </w:rPr>
        <w:t>岳阳职业技术校园</w:t>
      </w:r>
      <w:r>
        <w:rPr>
          <w:rFonts w:hint="default" w:ascii="Times New Roman" w:hAnsi="Times New Roman" w:eastAsia="方正小标宋简体" w:cs="Times New Roman"/>
          <w:sz w:val="44"/>
          <w:szCs w:val="44"/>
          <w:highlight w:val="none"/>
        </w:rPr>
        <w:t>整体支出</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绩效自评报告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岳阳职业技术学院是由岳阳市人民政府举办、湖南省教育厅进行业务管理的一所综合性高等职业院校。2003年4月由原岳阳卫校、岳阳农校、岳阳机电学校和岳阳职工高专四校合并升格组建而成。学院占地面积1000余亩，全日制在校学生15000余人，全院在职人员835人，其中二级教授2人、正高级职称教师55人、副高级职称教师259人。学校开办高职专业31个，下设有护理学院、医学院、机电工程学院、商贸物流学院、信息工程学院、生物环境工程学院、国际教育学院、社会培训学院7个二级学院和基础医学部、公共基础部2个公共教学部，拥有岳阳市新时代农民培训学院、附属医院（岳阳爱康医院）、国泰阳光颐养院（老年护理实训中心）3个二级法人单位，高职教育、老年护理、畜牧兽医、应用技术、张谷英民俗文化、岳阳市现代物流产业发展6个研究所（院）。</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办学二十年来，学校实现了从湖南省示范校、湖南省卓越校到国家“优质专科高等职业院校”、国家“双高计划”项目建设校、湖南省“十四五”规划本科职业大学建设学校的跨越，获国家第三批现代学徒制试点单位、全国黄炎培职业教育优秀学校奖、首批国家级职业教育教师教学创新团队、全国高校黄大年式教师团队、国家级教学成果二等奖、全国职业院校教师教学能力竞赛一等奖等40多项国家和省级荣誉。</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一般公共预算支出情况</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pStyle w:val="8"/>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基本支出共计10240.64万元，其中人员支出7890.35万元，公用支出2350.29万元。</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项目支出情况</w:t>
      </w:r>
    </w:p>
    <w:p>
      <w:pPr>
        <w:pStyle w:val="8"/>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项目支出共计5751.52万元，其中，“双高计划”项目建设支出3321.35万元，国家奖助学金项目支出1432.33万元，其余项目支出997.84万元。</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政府性基金预算支出情况</w:t>
      </w:r>
    </w:p>
    <w:p>
      <w:pPr>
        <w:pStyle w:val="8"/>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政府性基金</w:t>
      </w:r>
      <w:r>
        <w:rPr>
          <w:rFonts w:hint="default" w:ascii="Times New Roman" w:hAnsi="Times New Roman" w:eastAsia="仿宋_GB2312" w:cs="Times New Roman"/>
          <w:color w:val="000000"/>
          <w:kern w:val="0"/>
          <w:sz w:val="32"/>
          <w:szCs w:val="32"/>
          <w:lang w:val="en-US" w:eastAsia="zh-CN" w:bidi="ar-SA"/>
        </w:rPr>
        <w:t>预算</w:t>
      </w:r>
      <w:r>
        <w:rPr>
          <w:rFonts w:hint="default" w:ascii="Times New Roman" w:hAnsi="Times New Roman" w:eastAsia="仿宋_GB2312" w:cs="Times New Roman"/>
          <w:color w:val="000000"/>
          <w:kern w:val="0"/>
          <w:sz w:val="32"/>
          <w:szCs w:val="32"/>
          <w:lang w:val="en-US" w:eastAsia="zh-CN" w:bidi="ar-SA"/>
        </w:rPr>
        <w:t>支出</w:t>
      </w:r>
      <w:r>
        <w:rPr>
          <w:rFonts w:hint="default" w:ascii="Times New Roman" w:hAnsi="Times New Roman" w:eastAsia="仿宋_GB2312" w:cs="Times New Roman"/>
          <w:color w:val="000000"/>
          <w:kern w:val="0"/>
          <w:sz w:val="32"/>
          <w:szCs w:val="32"/>
          <w:lang w:val="en-US" w:eastAsia="zh-CN" w:bidi="ar-SA"/>
        </w:rPr>
        <w:t>全部用于“产教融合大楼”项目建设，本年度该项目支出5440.38万元。</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无</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部门整体支出绩效情况</w:t>
      </w:r>
    </w:p>
    <w:p>
      <w:pPr>
        <w:pStyle w:val="8"/>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xml:space="preserve">2023年，在岳阳市人民政府的领导下，学校坚持以习近平新时代中国特色社会主义思想为指导，全面学习宣传贯彻党的二十大精神，增强“四个意识”，坚定“四个自信”，做到“两个维护”，围绕立德树人根本任务，圆满完成了既定工作目标任务。 </w:t>
      </w:r>
    </w:p>
    <w:p>
      <w:pPr>
        <w:pStyle w:val="8"/>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xml:space="preserve">经自评，我校工作成效显著，教育教学质量进一步提升，社会效益较好，服务对象满意度高，《部门整体支出绩效自评表》 综合自评得分为 97 分。主要工作成效如下： </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b/>
          <w:bCs/>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 xml:space="preserve">（一）产出指标 </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1.强化预算引领作用。</w:t>
      </w:r>
      <w:r>
        <w:rPr>
          <w:rFonts w:hint="default" w:ascii="Times New Roman" w:hAnsi="Times New Roman" w:eastAsia="仿宋_GB2312" w:cs="Times New Roman"/>
          <w:color w:val="000000"/>
          <w:kern w:val="0"/>
          <w:sz w:val="32"/>
          <w:szCs w:val="32"/>
          <w:lang w:val="en-US" w:eastAsia="zh-CN" w:bidi="ar-SA"/>
        </w:rPr>
        <w:t xml:space="preserve">2023年学校全年预算总收入36,006.06万元，全年整体支出 33,225.77 万元，其中基本支出总额 15,423.80 万元，项目支出 17,801.97 万元，整体支出预算执行率 92.28%。 </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2.压减公用经费支出。</w:t>
      </w:r>
      <w:r>
        <w:rPr>
          <w:rFonts w:hint="default" w:ascii="Times New Roman" w:hAnsi="Times New Roman" w:eastAsia="仿宋_GB2312" w:cs="Times New Roman"/>
          <w:color w:val="000000"/>
          <w:kern w:val="0"/>
          <w:sz w:val="32"/>
          <w:szCs w:val="32"/>
          <w:lang w:val="en-US" w:eastAsia="zh-CN" w:bidi="ar-SA"/>
        </w:rPr>
        <w:t>2023年学校公用经费支出 2636.38 万元，较往年有大幅降低。</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3.严格控制“三公”经费支出。</w:t>
      </w:r>
      <w:r>
        <w:rPr>
          <w:rFonts w:hint="default" w:ascii="Times New Roman" w:hAnsi="Times New Roman" w:eastAsia="仿宋_GB2312" w:cs="Times New Roman"/>
          <w:color w:val="000000"/>
          <w:kern w:val="0"/>
          <w:sz w:val="32"/>
          <w:szCs w:val="32"/>
          <w:lang w:val="en-US" w:eastAsia="zh-CN" w:bidi="ar-SA"/>
        </w:rPr>
        <w:t>2023 年学校整体支出中“三公”经费支出 4.15 万元，较 2022 年减少 4.49 万元，下降 51.97%。</w:t>
      </w:r>
    </w:p>
    <w:p>
      <w:pPr>
        <w:pStyle w:val="8"/>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经过五年国家“双高计划”项目建设，取得了一批高质量的标志性成果，为健康产业人才培养、乡村振兴及生态文明建设、学习型社会建设贡献了“岳职智慧”。目前，岳阳职院办学定位更加精准，发展方向更加明晰；同时，紧跟时代步伐，持续完善“健康</w:t>
      </w:r>
      <w:r>
        <w:rPr>
          <w:rFonts w:hint="default"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”专业体系，不断深化产教融合与校企合作，打造健康产业人才培养高地和技术技能创新高地。</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b/>
          <w:bCs/>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 xml:space="preserve">（二）效益指标 </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b/>
          <w:bCs/>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 xml:space="preserve">1.彰显四大效应，引领职业教育高质量发展 </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文化育人品牌效应，为思政教育提供新经验</w:t>
      </w:r>
      <w:r>
        <w:rPr>
          <w:rFonts w:hint="default" w:ascii="Times New Roman" w:hAnsi="Times New Roman" w:eastAsia="仿宋_GB2312" w:cs="Times New Roman"/>
          <w:color w:val="000000"/>
          <w:kern w:val="0"/>
          <w:sz w:val="32"/>
          <w:szCs w:val="32"/>
          <w:lang w:val="en-US" w:eastAsia="zh-CN" w:bidi="ar-SA"/>
        </w:rPr>
        <w:t xml:space="preserve">  融入红色文化、传统文化和职业文化，构建“骆驼式现代职业人”培养新范式，学生思想道德素质、高校思政工作质量得到全面提升。 </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产教融合创新效应，为协同育人提供新机制</w:t>
      </w:r>
      <w:r>
        <w:rPr>
          <w:rFonts w:hint="default" w:ascii="Times New Roman" w:hAnsi="Times New Roman" w:eastAsia="仿宋_GB2312" w:cs="Times New Roman"/>
          <w:color w:val="000000"/>
          <w:kern w:val="0"/>
          <w:sz w:val="32"/>
          <w:szCs w:val="32"/>
          <w:lang w:val="en-US" w:eastAsia="zh-CN" w:bidi="ar-SA"/>
        </w:rPr>
        <w:t xml:space="preserve">  组建联盟制“全国 </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xml:space="preserve">数字化居家社区养老行业产教融合共同体”、股份制“国泰阳光颐养 </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xml:space="preserve">院”、托管制“爱康医院”、混合制“临港自贸区现代产业学院”，促进了专业链深度融入产业链。乡村本土化培养、农村特岗生培养、农村致富带头人培养等人才分类培养模式进一步完善。 </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服务产业集聚效应，为专业建设提供新范式</w:t>
      </w:r>
      <w:r>
        <w:rPr>
          <w:rFonts w:hint="default" w:ascii="Times New Roman" w:hAnsi="Times New Roman" w:eastAsia="仿宋_GB2312" w:cs="Times New Roman"/>
          <w:color w:val="000000"/>
          <w:kern w:val="0"/>
          <w:sz w:val="32"/>
          <w:szCs w:val="32"/>
          <w:lang w:val="en-US" w:eastAsia="zh-CN" w:bidi="ar-SA"/>
        </w:rPr>
        <w:t xml:space="preserve">  融入“健康中国”战略，紧密对接湖南省 </w:t>
      </w:r>
      <w:r>
        <w:rPr>
          <w:rFonts w:hint="default" w:ascii="Times New Roman" w:hAnsi="Times New Roman" w:eastAsia="仿宋_GB2312" w:cs="Times New Roman"/>
          <w:color w:val="000000"/>
          <w:kern w:val="0"/>
          <w:sz w:val="32"/>
          <w:szCs w:val="32"/>
          <w:lang w:val="en-US" w:eastAsia="zh-CN" w:bidi="ar-SA"/>
        </w:rPr>
        <w:t>4</w:t>
      </w:r>
      <w:r>
        <w:rPr>
          <w:rFonts w:hint="default"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 xml:space="preserve">4 </w:t>
      </w:r>
      <w:r>
        <w:rPr>
          <w:rFonts w:hint="default" w:ascii="Times New Roman" w:hAnsi="Times New Roman" w:eastAsia="仿宋_GB2312" w:cs="Times New Roman"/>
          <w:color w:val="000000"/>
          <w:kern w:val="0"/>
          <w:sz w:val="32"/>
          <w:szCs w:val="32"/>
          <w:lang w:val="en-US" w:eastAsia="zh-CN" w:bidi="ar-SA"/>
        </w:rPr>
        <w:t>现代化产业体系建设，形成了“健康</w:t>
      </w:r>
      <w:r>
        <w:rPr>
          <w:rFonts w:hint="default"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 xml:space="preserve">”特色专业群，为社会输送健康产业技能人才 </w:t>
      </w:r>
      <w:r>
        <w:rPr>
          <w:rFonts w:hint="default" w:ascii="Times New Roman" w:hAnsi="Times New Roman" w:eastAsia="仿宋_GB2312" w:cs="Times New Roman"/>
          <w:color w:val="000000"/>
          <w:kern w:val="0"/>
          <w:sz w:val="32"/>
          <w:szCs w:val="32"/>
          <w:lang w:val="en-US" w:eastAsia="zh-CN" w:bidi="ar-SA"/>
        </w:rPr>
        <w:t xml:space="preserve">14300 </w:t>
      </w:r>
      <w:r>
        <w:rPr>
          <w:rFonts w:hint="default" w:ascii="Times New Roman" w:hAnsi="Times New Roman" w:eastAsia="仿宋_GB2312" w:cs="Times New Roman"/>
          <w:color w:val="000000"/>
          <w:kern w:val="0"/>
          <w:sz w:val="32"/>
          <w:szCs w:val="32"/>
          <w:lang w:val="en-US" w:eastAsia="zh-CN" w:bidi="ar-SA"/>
        </w:rPr>
        <w:t xml:space="preserve">余人，其中留湘人才超过 </w:t>
      </w:r>
      <w:r>
        <w:rPr>
          <w:rFonts w:hint="default" w:ascii="Times New Roman" w:hAnsi="Times New Roman" w:eastAsia="仿宋_GB2312" w:cs="Times New Roman"/>
          <w:color w:val="000000"/>
          <w:kern w:val="0"/>
          <w:sz w:val="32"/>
          <w:szCs w:val="32"/>
          <w:lang w:val="en-US" w:eastAsia="zh-CN" w:bidi="ar-SA"/>
        </w:rPr>
        <w:t>70%</w:t>
      </w:r>
      <w:r>
        <w:rPr>
          <w:rFonts w:hint="default" w:ascii="Times New Roman" w:hAnsi="Times New Roman" w:eastAsia="仿宋_GB2312" w:cs="Times New Roman"/>
          <w:color w:val="000000"/>
          <w:kern w:val="0"/>
          <w:sz w:val="32"/>
          <w:szCs w:val="32"/>
          <w:lang w:val="en-US" w:eastAsia="zh-CN" w:bidi="ar-SA"/>
        </w:rPr>
        <w:t xml:space="preserve">。 </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“三教”改革头雁效应，为“五金”建设提供新范例</w:t>
      </w:r>
      <w:r>
        <w:rPr>
          <w:rFonts w:hint="default" w:ascii="Times New Roman" w:hAnsi="Times New Roman" w:eastAsia="仿宋_GB2312" w:cs="Times New Roman"/>
          <w:color w:val="000000"/>
          <w:kern w:val="0"/>
          <w:sz w:val="32"/>
          <w:szCs w:val="32"/>
          <w:lang w:val="en-US" w:eastAsia="zh-CN" w:bidi="ar-SA"/>
        </w:rPr>
        <w:t xml:space="preserve">  拥有国家职业教育教师（教学）创新团队 </w:t>
      </w:r>
      <w:r>
        <w:rPr>
          <w:rFonts w:hint="default" w:ascii="Times New Roman" w:hAnsi="Times New Roman" w:eastAsia="仿宋_GB2312" w:cs="Times New Roman"/>
          <w:color w:val="000000"/>
          <w:kern w:val="0"/>
          <w:sz w:val="32"/>
          <w:szCs w:val="32"/>
          <w:lang w:val="en-US" w:eastAsia="zh-CN" w:bidi="ar-SA"/>
        </w:rPr>
        <w:t xml:space="preserve">2 </w:t>
      </w:r>
      <w:r>
        <w:rPr>
          <w:rFonts w:hint="default" w:ascii="Times New Roman" w:hAnsi="Times New Roman" w:eastAsia="仿宋_GB2312" w:cs="Times New Roman"/>
          <w:color w:val="000000"/>
          <w:kern w:val="0"/>
          <w:sz w:val="32"/>
          <w:szCs w:val="32"/>
          <w:lang w:val="en-US" w:eastAsia="zh-CN" w:bidi="ar-SA"/>
        </w:rPr>
        <w:t xml:space="preserve">个、“全国高校黄大年式教师团队” </w:t>
      </w:r>
      <w:r>
        <w:rPr>
          <w:rFonts w:hint="default" w:ascii="Times New Roman" w:hAnsi="Times New Roman" w:eastAsia="仿宋_GB2312" w:cs="Times New Roman"/>
          <w:color w:val="000000"/>
          <w:kern w:val="0"/>
          <w:sz w:val="32"/>
          <w:szCs w:val="32"/>
          <w:lang w:val="en-US" w:eastAsia="zh-CN" w:bidi="ar-SA"/>
        </w:rPr>
        <w:t xml:space="preserve">1 </w:t>
      </w:r>
      <w:r>
        <w:rPr>
          <w:rFonts w:hint="default" w:ascii="Times New Roman" w:hAnsi="Times New Roman" w:eastAsia="仿宋_GB2312" w:cs="Times New Roman"/>
          <w:color w:val="000000"/>
          <w:kern w:val="0"/>
          <w:sz w:val="32"/>
          <w:szCs w:val="32"/>
          <w:lang w:val="en-US" w:eastAsia="zh-CN" w:bidi="ar-SA"/>
        </w:rPr>
        <w:t xml:space="preserve">个、省级教师教学创新团队 </w:t>
      </w:r>
      <w:r>
        <w:rPr>
          <w:rFonts w:hint="default" w:ascii="Times New Roman" w:hAnsi="Times New Roman" w:eastAsia="仿宋_GB2312" w:cs="Times New Roman"/>
          <w:color w:val="000000"/>
          <w:kern w:val="0"/>
          <w:sz w:val="32"/>
          <w:szCs w:val="32"/>
          <w:lang w:val="en-US" w:eastAsia="zh-CN" w:bidi="ar-SA"/>
        </w:rPr>
        <w:t xml:space="preserve">5 </w:t>
      </w:r>
      <w:r>
        <w:rPr>
          <w:rFonts w:hint="default" w:ascii="Times New Roman" w:hAnsi="Times New Roman" w:eastAsia="仿宋_GB2312" w:cs="Times New Roman"/>
          <w:color w:val="000000"/>
          <w:kern w:val="0"/>
          <w:sz w:val="32"/>
          <w:szCs w:val="32"/>
          <w:lang w:val="en-US" w:eastAsia="zh-CN" w:bidi="ar-SA"/>
        </w:rPr>
        <w:t xml:space="preserve">个，国家级专业教学资源库 </w:t>
      </w:r>
      <w:r>
        <w:rPr>
          <w:rFonts w:hint="default" w:ascii="Times New Roman" w:hAnsi="Times New Roman" w:eastAsia="仿宋_GB2312" w:cs="Times New Roman"/>
          <w:color w:val="000000"/>
          <w:kern w:val="0"/>
          <w:sz w:val="32"/>
          <w:szCs w:val="32"/>
          <w:lang w:val="en-US" w:eastAsia="zh-CN" w:bidi="ar-SA"/>
        </w:rPr>
        <w:t xml:space="preserve">1 </w:t>
      </w:r>
      <w:r>
        <w:rPr>
          <w:rFonts w:hint="default" w:ascii="Times New Roman" w:hAnsi="Times New Roman" w:eastAsia="仿宋_GB2312" w:cs="Times New Roman"/>
          <w:color w:val="000000"/>
          <w:kern w:val="0"/>
          <w:sz w:val="32"/>
          <w:szCs w:val="32"/>
          <w:lang w:val="en-US" w:eastAsia="zh-CN" w:bidi="ar-SA"/>
        </w:rPr>
        <w:t xml:space="preserve">个，国家规划教材 </w:t>
      </w:r>
      <w:r>
        <w:rPr>
          <w:rFonts w:hint="default" w:ascii="Times New Roman" w:hAnsi="Times New Roman" w:eastAsia="仿宋_GB2312" w:cs="Times New Roman"/>
          <w:color w:val="000000"/>
          <w:kern w:val="0"/>
          <w:sz w:val="32"/>
          <w:szCs w:val="32"/>
          <w:lang w:val="en-US" w:eastAsia="zh-CN" w:bidi="ar-SA"/>
        </w:rPr>
        <w:t xml:space="preserve">12 </w:t>
      </w:r>
      <w:r>
        <w:rPr>
          <w:rFonts w:hint="default" w:ascii="Times New Roman" w:hAnsi="Times New Roman" w:eastAsia="仿宋_GB2312" w:cs="Times New Roman"/>
          <w:color w:val="000000"/>
          <w:kern w:val="0"/>
          <w:sz w:val="32"/>
          <w:szCs w:val="32"/>
          <w:lang w:val="en-US" w:eastAsia="zh-CN" w:bidi="ar-SA"/>
        </w:rPr>
        <w:t>本。</w:t>
      </w:r>
      <w:r>
        <w:rPr>
          <w:rFonts w:hint="default" w:ascii="Times New Roman" w:hAnsi="Times New Roman" w:eastAsia="仿宋_GB2312" w:cs="Times New Roman"/>
          <w:color w:val="000000"/>
          <w:kern w:val="0"/>
          <w:sz w:val="32"/>
          <w:szCs w:val="32"/>
          <w:lang w:val="en-US" w:eastAsia="zh-CN" w:bidi="ar-SA"/>
        </w:rPr>
        <w:t xml:space="preserve">1 </w:t>
      </w:r>
      <w:r>
        <w:rPr>
          <w:rFonts w:hint="default" w:ascii="Times New Roman" w:hAnsi="Times New Roman" w:eastAsia="仿宋_GB2312" w:cs="Times New Roman"/>
          <w:color w:val="000000"/>
          <w:kern w:val="0"/>
          <w:sz w:val="32"/>
          <w:szCs w:val="32"/>
          <w:lang w:val="en-US" w:eastAsia="zh-CN" w:bidi="ar-SA"/>
        </w:rPr>
        <w:t>人荣获首届“全国教材建设先进个人”称号。</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b/>
          <w:bCs/>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2</w:t>
      </w:r>
      <w:r>
        <w:rPr>
          <w:rFonts w:hint="default" w:ascii="Times New Roman" w:hAnsi="Times New Roman" w:eastAsia="仿宋_GB2312" w:cs="Times New Roman"/>
          <w:b/>
          <w:bCs/>
          <w:color w:val="000000"/>
          <w:kern w:val="0"/>
          <w:sz w:val="32"/>
          <w:szCs w:val="32"/>
          <w:lang w:val="en-US" w:eastAsia="zh-CN" w:bidi="ar-SA"/>
        </w:rPr>
        <w:t xml:space="preserve">.打造四大平台，服务区域产业高质量发展 </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 xml:space="preserve">科技创新平台助力地方产业发展  </w:t>
      </w:r>
      <w:r>
        <w:rPr>
          <w:rFonts w:hint="default" w:ascii="Times New Roman" w:hAnsi="Times New Roman" w:eastAsia="仿宋_GB2312" w:cs="Times New Roman"/>
          <w:color w:val="000000"/>
          <w:kern w:val="0"/>
          <w:sz w:val="32"/>
          <w:szCs w:val="32"/>
          <w:lang w:val="en-US" w:eastAsia="zh-CN" w:bidi="ar-SA"/>
        </w:rPr>
        <w:t xml:space="preserve">搭建临港自贸区现代产业学院、岳阳现代物流产业发展研究院等平台，为园区企业和区域产业发展贡献职教力量。科研成果“废液焚烧装置锅炉熔融物溜槽”破解了中石化巴陵石化废液处理技术难题；“注射用重组葡激酶的工艺研发项目”攻克了重组蛋白纯化难题，实现规模化生产；油茶粕生产生物农药技术项目研发解决了中国带草茶粕出口有关技术难题。 </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 xml:space="preserve">专家智库平台助力乡村振兴与生态环保  </w:t>
      </w:r>
      <w:r>
        <w:rPr>
          <w:rFonts w:hint="default" w:ascii="Times New Roman" w:hAnsi="Times New Roman" w:eastAsia="仿宋_GB2312" w:cs="Times New Roman"/>
          <w:color w:val="000000"/>
          <w:kern w:val="0"/>
          <w:sz w:val="32"/>
          <w:szCs w:val="32"/>
          <w:lang w:val="en-US" w:eastAsia="zh-CN" w:bidi="ar-SA"/>
        </w:rPr>
        <w:t xml:space="preserve">派出科技特派员 </w:t>
      </w:r>
      <w:r>
        <w:rPr>
          <w:rFonts w:hint="default" w:ascii="Times New Roman" w:hAnsi="Times New Roman" w:eastAsia="仿宋_GB2312" w:cs="Times New Roman"/>
          <w:color w:val="000000"/>
          <w:kern w:val="0"/>
          <w:sz w:val="32"/>
          <w:szCs w:val="32"/>
          <w:lang w:val="en-US" w:eastAsia="zh-CN" w:bidi="ar-SA"/>
        </w:rPr>
        <w:t xml:space="preserve">70 </w:t>
      </w:r>
      <w:r>
        <w:rPr>
          <w:rFonts w:hint="default" w:ascii="Times New Roman" w:hAnsi="Times New Roman" w:eastAsia="仿宋_GB2312" w:cs="Times New Roman"/>
          <w:color w:val="000000"/>
          <w:kern w:val="0"/>
          <w:sz w:val="32"/>
          <w:szCs w:val="32"/>
          <w:lang w:val="en-US" w:eastAsia="zh-CN" w:bidi="ar-SA"/>
        </w:rPr>
        <w:t xml:space="preserve">余人次帮助企业、农户创造经济效益总计 </w:t>
      </w:r>
      <w:r>
        <w:rPr>
          <w:rFonts w:hint="default" w:ascii="Times New Roman" w:hAnsi="Times New Roman" w:eastAsia="仿宋_GB2312" w:cs="Times New Roman"/>
          <w:color w:val="000000"/>
          <w:kern w:val="0"/>
          <w:sz w:val="32"/>
          <w:szCs w:val="32"/>
          <w:lang w:val="en-US" w:eastAsia="zh-CN" w:bidi="ar-SA"/>
        </w:rPr>
        <w:t xml:space="preserve">2.29 </w:t>
      </w:r>
      <w:r>
        <w:rPr>
          <w:rFonts w:hint="default" w:ascii="Times New Roman" w:hAnsi="Times New Roman" w:eastAsia="仿宋_GB2312" w:cs="Times New Roman"/>
          <w:color w:val="000000"/>
          <w:kern w:val="0"/>
          <w:sz w:val="32"/>
          <w:szCs w:val="32"/>
          <w:lang w:val="en-US" w:eastAsia="zh-CN" w:bidi="ar-SA"/>
        </w:rPr>
        <w:t xml:space="preserve">亿元。牢记习近平总书记“守护好一江碧水”的殷殷嘱托，开展洞庭湖水质治理、江豚保护和外来物种防治等问题研究，取得显著生态效益。 </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 xml:space="preserve">社会培训平台助力职业素养提升  </w:t>
      </w:r>
      <w:r>
        <w:rPr>
          <w:rFonts w:hint="default" w:ascii="Times New Roman" w:hAnsi="Times New Roman" w:eastAsia="仿宋_GB2312" w:cs="Times New Roman"/>
          <w:color w:val="000000"/>
          <w:kern w:val="0"/>
          <w:sz w:val="32"/>
          <w:szCs w:val="32"/>
          <w:lang w:val="en-US" w:eastAsia="zh-CN" w:bidi="ar-SA"/>
        </w:rPr>
        <w:t>依托多个培训基地，完成湖南省乡村振兴致富带头人培训1472人，大学生创业培训510人，非农在编人员培训50人。</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社区学院平台助力基层社区治理</w:t>
      </w:r>
      <w:r>
        <w:rPr>
          <w:rFonts w:hint="default" w:ascii="Times New Roman" w:hAnsi="Times New Roman" w:eastAsia="仿宋_GB2312" w:cs="Times New Roman"/>
          <w:color w:val="000000"/>
          <w:kern w:val="0"/>
          <w:sz w:val="32"/>
          <w:szCs w:val="32"/>
          <w:lang w:val="en-US" w:eastAsia="zh-CN" w:bidi="ar-SA"/>
        </w:rPr>
        <w:t xml:space="preserve">  校地携手共建社区学院 </w:t>
      </w:r>
      <w:r>
        <w:rPr>
          <w:rFonts w:hint="default" w:ascii="Times New Roman" w:hAnsi="Times New Roman" w:eastAsia="仿宋_GB2312" w:cs="Times New Roman"/>
          <w:color w:val="000000"/>
          <w:kern w:val="0"/>
          <w:sz w:val="32"/>
          <w:szCs w:val="32"/>
          <w:lang w:val="en-US" w:eastAsia="zh-CN" w:bidi="ar-SA"/>
        </w:rPr>
        <w:t xml:space="preserve">18 </w:t>
      </w:r>
      <w:r>
        <w:rPr>
          <w:rFonts w:hint="default" w:ascii="Times New Roman" w:hAnsi="Times New Roman" w:eastAsia="仿宋_GB2312" w:cs="Times New Roman"/>
          <w:color w:val="000000"/>
          <w:kern w:val="0"/>
          <w:sz w:val="32"/>
          <w:szCs w:val="32"/>
          <w:lang w:val="en-US" w:eastAsia="zh-CN" w:bidi="ar-SA"/>
        </w:rPr>
        <w:t xml:space="preserve">家，服务覆盖居民 </w:t>
      </w:r>
      <w:r>
        <w:rPr>
          <w:rFonts w:hint="default" w:ascii="Times New Roman" w:hAnsi="Times New Roman" w:eastAsia="仿宋_GB2312" w:cs="Times New Roman"/>
          <w:color w:val="000000"/>
          <w:kern w:val="0"/>
          <w:sz w:val="32"/>
          <w:szCs w:val="32"/>
          <w:lang w:val="en-US" w:eastAsia="zh-CN" w:bidi="ar-SA"/>
        </w:rPr>
        <w:t xml:space="preserve">76 </w:t>
      </w:r>
      <w:r>
        <w:rPr>
          <w:rFonts w:hint="default" w:ascii="Times New Roman" w:hAnsi="Times New Roman" w:eastAsia="仿宋_GB2312" w:cs="Times New Roman"/>
          <w:color w:val="000000"/>
          <w:kern w:val="0"/>
          <w:sz w:val="32"/>
          <w:szCs w:val="32"/>
          <w:lang w:val="en-US" w:eastAsia="zh-CN" w:bidi="ar-SA"/>
        </w:rPr>
        <w:t xml:space="preserve">万余人。牵头成立全国数字化社区居家养老行业产教共同体。南湖社区、月池塘社区被评为“全国示范性老年友好型社区”，杨树塘社区被评为“全国民主法治示范社区”。 </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b/>
          <w:bCs/>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3</w:t>
      </w:r>
      <w:r>
        <w:rPr>
          <w:rFonts w:hint="default" w:ascii="Times New Roman" w:hAnsi="Times New Roman" w:eastAsia="仿宋_GB2312" w:cs="Times New Roman"/>
          <w:b/>
          <w:bCs/>
          <w:color w:val="000000"/>
          <w:kern w:val="0"/>
          <w:sz w:val="32"/>
          <w:szCs w:val="32"/>
          <w:lang w:val="en-US" w:eastAsia="zh-CN" w:bidi="ar-SA"/>
        </w:rPr>
        <w:t xml:space="preserve">.集聚三方力量，建设国家级标准和资源库 </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标准建设服务产业发展</w:t>
      </w:r>
      <w:r>
        <w:rPr>
          <w:rFonts w:hint="default" w:ascii="Times New Roman" w:hAnsi="Times New Roman" w:eastAsia="仿宋_GB2312" w:cs="Times New Roman"/>
          <w:color w:val="000000"/>
          <w:kern w:val="0"/>
          <w:sz w:val="32"/>
          <w:szCs w:val="32"/>
          <w:lang w:val="en-US" w:eastAsia="zh-CN" w:bidi="ar-SA"/>
        </w:rPr>
        <w:t xml:space="preserve">  政府主导、校企协同，开发标准 </w:t>
      </w:r>
      <w:r>
        <w:rPr>
          <w:rFonts w:hint="default" w:ascii="Times New Roman" w:hAnsi="Times New Roman" w:eastAsia="仿宋_GB2312" w:cs="Times New Roman"/>
          <w:color w:val="000000"/>
          <w:kern w:val="0"/>
          <w:sz w:val="32"/>
          <w:szCs w:val="32"/>
          <w:lang w:val="en-US" w:eastAsia="zh-CN" w:bidi="ar-SA"/>
        </w:rPr>
        <w:t xml:space="preserve">37 </w:t>
      </w:r>
      <w:r>
        <w:rPr>
          <w:rFonts w:hint="default" w:ascii="Times New Roman" w:hAnsi="Times New Roman" w:eastAsia="仿宋_GB2312" w:cs="Times New Roman"/>
          <w:color w:val="000000"/>
          <w:kern w:val="0"/>
          <w:sz w:val="32"/>
          <w:szCs w:val="32"/>
          <w:lang w:val="en-US" w:eastAsia="zh-CN" w:bidi="ar-SA"/>
        </w:rPr>
        <w:t xml:space="preserve">个。 </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xml:space="preserve">其中，国家标准《玻璃水滑道安全技术要求》企业应用率达 </w:t>
      </w:r>
      <w:r>
        <w:rPr>
          <w:rFonts w:hint="default" w:ascii="Times New Roman" w:hAnsi="Times New Roman" w:eastAsia="仿宋_GB2312" w:cs="Times New Roman"/>
          <w:color w:val="000000"/>
          <w:kern w:val="0"/>
          <w:sz w:val="32"/>
          <w:szCs w:val="32"/>
          <w:lang w:val="en-US" w:eastAsia="zh-CN" w:bidi="ar-SA"/>
        </w:rPr>
        <w:t>100%</w:t>
      </w:r>
      <w:r>
        <w:rPr>
          <w:rFonts w:hint="default" w:ascii="Times New Roman" w:hAnsi="Times New Roman" w:eastAsia="仿宋_GB2312" w:cs="Times New Roman"/>
          <w:color w:val="000000"/>
          <w:kern w:val="0"/>
          <w:sz w:val="32"/>
          <w:szCs w:val="32"/>
          <w:lang w:val="en-US" w:eastAsia="zh-CN" w:bidi="ar-SA"/>
        </w:rPr>
        <w:t xml:space="preserve">。 </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xml:space="preserve">校校合作开发 </w:t>
      </w:r>
      <w:r>
        <w:rPr>
          <w:rFonts w:hint="default" w:ascii="Times New Roman" w:hAnsi="Times New Roman" w:eastAsia="仿宋_GB2312" w:cs="Times New Roman"/>
          <w:color w:val="000000"/>
          <w:kern w:val="0"/>
          <w:sz w:val="32"/>
          <w:szCs w:val="32"/>
          <w:lang w:val="en-US" w:eastAsia="zh-CN" w:bidi="ar-SA"/>
        </w:rPr>
        <w:t xml:space="preserve">2 </w:t>
      </w:r>
      <w:r>
        <w:rPr>
          <w:rFonts w:hint="default" w:ascii="Times New Roman" w:hAnsi="Times New Roman" w:eastAsia="仿宋_GB2312" w:cs="Times New Roman"/>
          <w:color w:val="000000"/>
          <w:kern w:val="0"/>
          <w:sz w:val="32"/>
          <w:szCs w:val="32"/>
          <w:lang w:val="en-US" w:eastAsia="zh-CN" w:bidi="ar-SA"/>
        </w:rPr>
        <w:t xml:space="preserve">个居家养老服务标准，引领湖南老年产业标准建设。 “失智老年人照护”“产后恢复师”“幼儿照护”等 </w:t>
      </w:r>
      <w:r>
        <w:rPr>
          <w:rFonts w:hint="default" w:ascii="Times New Roman" w:hAnsi="Times New Roman" w:eastAsia="仿宋_GB2312" w:cs="Times New Roman"/>
          <w:color w:val="000000"/>
          <w:kern w:val="0"/>
          <w:sz w:val="32"/>
          <w:szCs w:val="32"/>
          <w:lang w:val="en-US" w:eastAsia="zh-CN" w:bidi="ar-SA"/>
        </w:rPr>
        <w:t xml:space="preserve">1+X </w:t>
      </w:r>
      <w:r>
        <w:rPr>
          <w:rFonts w:hint="default" w:ascii="Times New Roman" w:hAnsi="Times New Roman" w:eastAsia="仿宋_GB2312" w:cs="Times New Roman"/>
          <w:color w:val="000000"/>
          <w:kern w:val="0"/>
          <w:sz w:val="32"/>
          <w:szCs w:val="32"/>
          <w:lang w:val="en-US" w:eastAsia="zh-CN" w:bidi="ar-SA"/>
        </w:rPr>
        <w:t xml:space="preserve">证书标准在业界广泛推广。 </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数字化建设赋能“三教改革”</w:t>
      </w:r>
      <w:r>
        <w:rPr>
          <w:rFonts w:hint="default" w:ascii="Times New Roman" w:hAnsi="Times New Roman" w:eastAsia="仿宋_GB2312" w:cs="Times New Roman"/>
          <w:color w:val="000000"/>
          <w:kern w:val="0"/>
          <w:sz w:val="32"/>
          <w:szCs w:val="32"/>
          <w:lang w:val="en-US" w:eastAsia="zh-CN" w:bidi="ar-SA"/>
        </w:rPr>
        <w:t xml:space="preserve">  主持完成国家级职业教育助产专业（群）教学资源库建设、湖南省老年健康服务专业群教学资源库建设，两个资源库资源活跃度达 </w:t>
      </w:r>
      <w:r>
        <w:rPr>
          <w:rFonts w:hint="default" w:ascii="Times New Roman" w:hAnsi="Times New Roman" w:eastAsia="仿宋_GB2312" w:cs="Times New Roman"/>
          <w:color w:val="000000"/>
          <w:kern w:val="0"/>
          <w:sz w:val="32"/>
          <w:szCs w:val="32"/>
          <w:lang w:val="en-US" w:eastAsia="zh-CN" w:bidi="ar-SA"/>
        </w:rPr>
        <w:t>97.99%</w:t>
      </w:r>
      <w:r>
        <w:rPr>
          <w:rFonts w:hint="default" w:ascii="Times New Roman" w:hAnsi="Times New Roman" w:eastAsia="仿宋_GB2312" w:cs="Times New Roman"/>
          <w:color w:val="000000"/>
          <w:kern w:val="0"/>
          <w:sz w:val="32"/>
          <w:szCs w:val="32"/>
          <w:lang w:val="en-US" w:eastAsia="zh-CN" w:bidi="ar-SA"/>
        </w:rPr>
        <w:t xml:space="preserve">，年度更新率逾 </w:t>
      </w:r>
      <w:r>
        <w:rPr>
          <w:rFonts w:hint="default" w:ascii="Times New Roman" w:hAnsi="Times New Roman" w:eastAsia="仿宋_GB2312" w:cs="Times New Roman"/>
          <w:color w:val="000000"/>
          <w:kern w:val="0"/>
          <w:sz w:val="32"/>
          <w:szCs w:val="32"/>
          <w:lang w:val="en-US" w:eastAsia="zh-CN" w:bidi="ar-SA"/>
        </w:rPr>
        <w:t>30%</w:t>
      </w:r>
      <w:r>
        <w:rPr>
          <w:rFonts w:hint="default" w:ascii="Times New Roman" w:hAnsi="Times New Roman" w:eastAsia="仿宋_GB2312" w:cs="Times New Roman"/>
          <w:color w:val="000000"/>
          <w:kern w:val="0"/>
          <w:sz w:val="32"/>
          <w:szCs w:val="32"/>
          <w:lang w:val="en-US" w:eastAsia="zh-CN" w:bidi="ar-SA"/>
        </w:rPr>
        <w:t xml:space="preserve">，注册用户 </w:t>
      </w:r>
      <w:r>
        <w:rPr>
          <w:rFonts w:hint="default" w:ascii="Times New Roman" w:hAnsi="Times New Roman" w:eastAsia="仿宋_GB2312" w:cs="Times New Roman"/>
          <w:color w:val="000000"/>
          <w:kern w:val="0"/>
          <w:sz w:val="32"/>
          <w:szCs w:val="32"/>
          <w:lang w:val="en-US" w:eastAsia="zh-CN" w:bidi="ar-SA"/>
        </w:rPr>
        <w:t xml:space="preserve">30 </w:t>
      </w:r>
      <w:r>
        <w:rPr>
          <w:rFonts w:hint="default" w:ascii="Times New Roman" w:hAnsi="Times New Roman" w:eastAsia="仿宋_GB2312" w:cs="Times New Roman"/>
          <w:color w:val="000000"/>
          <w:kern w:val="0"/>
          <w:sz w:val="32"/>
          <w:szCs w:val="32"/>
          <w:lang w:val="en-US" w:eastAsia="zh-CN" w:bidi="ar-SA"/>
        </w:rPr>
        <w:t xml:space="preserve">余万人，覆盖全国 </w:t>
      </w:r>
      <w:r>
        <w:rPr>
          <w:rFonts w:hint="default" w:ascii="Times New Roman" w:hAnsi="Times New Roman" w:eastAsia="仿宋_GB2312" w:cs="Times New Roman"/>
          <w:color w:val="000000"/>
          <w:kern w:val="0"/>
          <w:sz w:val="32"/>
          <w:szCs w:val="32"/>
          <w:lang w:val="en-US" w:eastAsia="zh-CN" w:bidi="ar-SA"/>
        </w:rPr>
        <w:t xml:space="preserve">31 </w:t>
      </w:r>
      <w:r>
        <w:rPr>
          <w:rFonts w:hint="default" w:ascii="Times New Roman" w:hAnsi="Times New Roman" w:eastAsia="仿宋_GB2312" w:cs="Times New Roman"/>
          <w:color w:val="000000"/>
          <w:kern w:val="0"/>
          <w:sz w:val="32"/>
          <w:szCs w:val="32"/>
          <w:lang w:val="en-US" w:eastAsia="zh-CN" w:bidi="ar-SA"/>
        </w:rPr>
        <w:t>个省（市、区）</w:t>
      </w:r>
      <w:r>
        <w:rPr>
          <w:rFonts w:hint="default" w:ascii="Times New Roman" w:hAnsi="Times New Roman" w:eastAsia="仿宋_GB2312" w:cs="Times New Roman"/>
          <w:color w:val="000000"/>
          <w:kern w:val="0"/>
          <w:sz w:val="32"/>
          <w:szCs w:val="32"/>
          <w:lang w:val="en-US" w:eastAsia="zh-CN" w:bidi="ar-SA"/>
        </w:rPr>
        <w:t xml:space="preserve">1697 </w:t>
      </w:r>
      <w:r>
        <w:rPr>
          <w:rFonts w:hint="default" w:ascii="Times New Roman" w:hAnsi="Times New Roman" w:eastAsia="仿宋_GB2312" w:cs="Times New Roman"/>
          <w:color w:val="000000"/>
          <w:kern w:val="0"/>
          <w:sz w:val="32"/>
          <w:szCs w:val="32"/>
          <w:lang w:val="en-US" w:eastAsia="zh-CN" w:bidi="ar-SA"/>
        </w:rPr>
        <w:t xml:space="preserve">所（家）学校和企 业，用户日志访问量超过 </w:t>
      </w:r>
      <w:r>
        <w:rPr>
          <w:rFonts w:hint="default" w:ascii="Times New Roman" w:hAnsi="Times New Roman" w:eastAsia="仿宋_GB2312" w:cs="Times New Roman"/>
          <w:color w:val="000000"/>
          <w:kern w:val="0"/>
          <w:sz w:val="32"/>
          <w:szCs w:val="32"/>
          <w:lang w:val="en-US" w:eastAsia="zh-CN" w:bidi="ar-SA"/>
        </w:rPr>
        <w:t xml:space="preserve">50 </w:t>
      </w:r>
      <w:r>
        <w:rPr>
          <w:rFonts w:hint="default" w:ascii="Times New Roman" w:hAnsi="Times New Roman" w:eastAsia="仿宋_GB2312" w:cs="Times New Roman"/>
          <w:color w:val="000000"/>
          <w:kern w:val="0"/>
          <w:sz w:val="32"/>
          <w:szCs w:val="32"/>
          <w:lang w:val="en-US" w:eastAsia="zh-CN" w:bidi="ar-SA"/>
        </w:rPr>
        <w:t>万次</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b/>
          <w:bCs/>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 xml:space="preserve">（三）满意度指标 </w:t>
      </w:r>
    </w:p>
    <w:p>
      <w:pPr>
        <w:pStyle w:val="8"/>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共设置有在校生满意度、毕业生满意度、教职工满意度等3个满意度指标，通过第三方报告显示，各满意度分别为：在校生满意度98%、毕业生满意度96.38%、教职工满意度99.3%，均达成2023年年度目标。</w:t>
      </w:r>
    </w:p>
    <w:p>
      <w:pPr>
        <w:pStyle w:val="8"/>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(一)</w:t>
      </w:r>
      <w:r>
        <w:rPr>
          <w:rFonts w:hint="default" w:ascii="Times New Roman" w:hAnsi="Times New Roman" w:eastAsia="仿宋_GB2312" w:cs="Times New Roman"/>
          <w:b/>
          <w:bCs/>
          <w:color w:val="000000"/>
          <w:kern w:val="0"/>
          <w:sz w:val="32"/>
          <w:szCs w:val="32"/>
          <w:lang w:val="en-US" w:eastAsia="zh-CN" w:bidi="ar-SA"/>
        </w:rPr>
        <w:t>预算项目安排计划性有待加强。</w:t>
      </w:r>
      <w:r>
        <w:rPr>
          <w:rFonts w:hint="default" w:ascii="Times New Roman" w:hAnsi="Times New Roman" w:eastAsia="仿宋_GB2312" w:cs="Times New Roman"/>
          <w:color w:val="000000"/>
          <w:kern w:val="0"/>
          <w:sz w:val="32"/>
          <w:szCs w:val="32"/>
          <w:lang w:val="en-US" w:eastAsia="zh-CN" w:bidi="ar-SA"/>
        </w:rPr>
        <w:t xml:space="preserve">有的预算项目前期可行性论证不充分，建设条件还不完全成熟，加上年度预算安排的项目偏多，造成学校整体预算执行没有达到预期目标。 </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（二）</w:t>
      </w:r>
      <w:r>
        <w:rPr>
          <w:rFonts w:hint="default" w:ascii="Times New Roman" w:hAnsi="Times New Roman" w:eastAsia="仿宋_GB2312" w:cs="Times New Roman"/>
          <w:b/>
          <w:bCs/>
          <w:color w:val="000000"/>
          <w:kern w:val="0"/>
          <w:sz w:val="32"/>
          <w:szCs w:val="32"/>
          <w:lang w:val="en-US" w:eastAsia="zh-CN" w:bidi="ar-SA"/>
        </w:rPr>
        <w:t>项目指标挂网或拨付时间需提早。</w:t>
      </w:r>
      <w:r>
        <w:rPr>
          <w:rFonts w:hint="default" w:ascii="Times New Roman" w:hAnsi="Times New Roman" w:eastAsia="仿宋_GB2312" w:cs="Times New Roman"/>
          <w:color w:val="000000"/>
          <w:kern w:val="0"/>
          <w:sz w:val="32"/>
          <w:szCs w:val="32"/>
          <w:lang w:val="en-US" w:eastAsia="zh-CN" w:bidi="ar-SA"/>
        </w:rPr>
        <w:t xml:space="preserve">由于项目挂网相对基本支出时间比较滞后，加上生均清算指标下达时间较晚，导致资金支出进度前慢后快，一定程度上影响了资金使用、项目产出及效益的客观评价。 </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（三）财务管理制度需进一步补充完善。</w:t>
      </w:r>
      <w:r>
        <w:rPr>
          <w:rFonts w:hint="default" w:ascii="Times New Roman" w:hAnsi="Times New Roman" w:eastAsia="仿宋_GB2312" w:cs="Times New Roman"/>
          <w:color w:val="000000"/>
          <w:kern w:val="0"/>
          <w:sz w:val="32"/>
          <w:szCs w:val="32"/>
          <w:lang w:val="en-US" w:eastAsia="zh-CN" w:bidi="ar-SA"/>
        </w:rPr>
        <w:t>存在财务制度修订未及时，项目库建设还不完善，影响了学校建设任务稳步推进。</w:t>
      </w:r>
    </w:p>
    <w:p>
      <w:pPr>
        <w:keepNext w:val="0"/>
        <w:keepLines w:val="0"/>
        <w:pageBreakBefore w:val="0"/>
        <w:widowControl w:val="0"/>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（一）进一步规范项目预算管理。</w:t>
      </w:r>
      <w:r>
        <w:rPr>
          <w:rFonts w:hint="default" w:ascii="Times New Roman" w:hAnsi="Times New Roman" w:eastAsia="仿宋_GB2312" w:cs="Times New Roman"/>
          <w:color w:val="000000"/>
          <w:kern w:val="0"/>
          <w:sz w:val="32"/>
          <w:szCs w:val="32"/>
          <w:lang w:val="en-US" w:eastAsia="zh-CN" w:bidi="ar-SA"/>
        </w:rPr>
        <w:t xml:space="preserve">按照注重绩效、提高效率的原则，加快“项目库”的建设，资金重点安排论证充分、形成实际支出快、效益产出相对高的项目。 </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（二）进一步加强项目预算执行。</w:t>
      </w:r>
      <w:r>
        <w:rPr>
          <w:rFonts w:hint="default" w:ascii="Times New Roman" w:hAnsi="Times New Roman" w:eastAsia="仿宋_GB2312" w:cs="Times New Roman"/>
          <w:color w:val="000000"/>
          <w:kern w:val="0"/>
          <w:sz w:val="32"/>
          <w:szCs w:val="32"/>
          <w:lang w:val="en-US" w:eastAsia="zh-CN" w:bidi="ar-SA"/>
        </w:rPr>
        <w:t>根据预算批复支出，避免无预算、超预算、扩大开支范围等支出现象发生，强化预算执行的严肃性。</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（三）进一步健全财务管理制度。</w:t>
      </w:r>
      <w:r>
        <w:rPr>
          <w:rFonts w:hint="default" w:ascii="Times New Roman" w:hAnsi="Times New Roman" w:eastAsia="仿宋_GB2312" w:cs="Times New Roman"/>
          <w:color w:val="000000"/>
          <w:kern w:val="0"/>
          <w:sz w:val="32"/>
          <w:szCs w:val="32"/>
          <w:lang w:val="en-US" w:eastAsia="zh-CN" w:bidi="ar-SA"/>
        </w:rPr>
        <w:t xml:space="preserve">围绕教育教学工作中心，结合在财务管理方面的问题，尤其是对预算编制与执行方面存在的问题，建立科学合理、层次清晰、责任明确、内容详实、流程规范、报账便捷的财务管理制度。 </w:t>
      </w:r>
    </w:p>
    <w:p>
      <w:pPr>
        <w:pStyle w:val="8"/>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（四）进一步强化预算绩效管理。</w:t>
      </w:r>
      <w:r>
        <w:rPr>
          <w:rFonts w:hint="default" w:ascii="Times New Roman" w:hAnsi="Times New Roman" w:eastAsia="仿宋_GB2312" w:cs="Times New Roman"/>
          <w:color w:val="000000"/>
          <w:kern w:val="0"/>
          <w:sz w:val="32"/>
          <w:szCs w:val="32"/>
          <w:lang w:val="en-US" w:eastAsia="zh-CN" w:bidi="ar-SA"/>
        </w:rPr>
        <w:t>全面建立健全预算绩效管理体制机制，构建校内预算绩效管理架构，加强财政支出管理，增强资金绩效理念，合理配置资源，优化学校支出结构，强化资金管理水平。同时加强在绩效评价工作方面的业务培训，加大学校对预算绩效管理的支持力度，使学校各级部门和人员充分了解预算绩效管理的背景和具体实施流程，高度重视绩效评价结果应用工作，积极探索和建立一套与部门预算相结合、多渠道应用评价结果的有效机制，提高绩效意识和财政资金使用效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pPr>
        <w:pStyle w:val="8"/>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对照自评结果总结经验、发现问题、提出改进的方向及具体措施，促进工作开展，逐步建立完整的绩效评价机制。</w:t>
      </w:r>
    </w:p>
    <w:p>
      <w:pPr>
        <w:pStyle w:val="8"/>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在规定时间内公开至本单位相关部门门户网站，保证数据真实、准确、完整。</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Lines="0" w:line="360" w:lineRule="auto"/>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 xml:space="preserve">年度部门整体支出绩效评价基础数据表 </w:t>
      </w:r>
    </w:p>
    <w:p>
      <w:pPr>
        <w:keepNext w:val="0"/>
        <w:keepLines w:val="0"/>
        <w:pageBreakBefore w:val="0"/>
        <w:widowControl w:val="0"/>
        <w:kinsoku/>
        <w:wordWrap/>
        <w:overflowPunct/>
        <w:topLinePunct w:val="0"/>
        <w:autoSpaceDE/>
        <w:autoSpaceDN/>
        <w:bidi w:val="0"/>
        <w:adjustRightInd/>
        <w:snapToGrid/>
        <w:spacing w:afterLines="0" w:line="360" w:lineRule="auto"/>
        <w:ind w:firstLine="1600" w:firstLineChars="5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年度部门整体支出绩效自评表</w:t>
      </w:r>
      <w:r>
        <w:rPr>
          <w:rFonts w:hint="default" w:ascii="Times New Roman" w:hAnsi="Times New Roman" w:eastAsia="仿宋_GB2312" w:cs="Times New Roman"/>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Lines="0" w:line="360" w:lineRule="auto"/>
        <w:ind w:firstLine="1600" w:firstLineChars="5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年度项目支出绩效自评表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after="120" w:afterLines="50" w:line="600" w:lineRule="exact"/>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附件</w:t>
      </w:r>
      <w:r>
        <w:rPr>
          <w:rFonts w:hint="default" w:ascii="Times New Roman" w:hAnsi="Times New Roman" w:eastAsia="黑体" w:cs="Times New Roman"/>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after="120" w:afterLines="50" w:line="600" w:lineRule="exact"/>
        <w:jc w:val="center"/>
        <w:textAlignment w:val="auto"/>
        <w:rPr>
          <w:rFonts w:hint="default" w:ascii="Times New Roman" w:hAnsi="Times New Roman" w:eastAsia="方正小标宋简体" w:cs="Times New Roman"/>
          <w:sz w:val="24"/>
          <w:highlight w:val="none"/>
        </w:rPr>
      </w:pPr>
      <w:r>
        <w:rPr>
          <w:rFonts w:hint="default" w:ascii="Times New Roman" w:hAnsi="Times New Roman" w:eastAsia="方正小标宋简体" w:cs="Times New Roman"/>
          <w:sz w:val="36"/>
          <w:szCs w:val="36"/>
          <w:highlight w:val="none"/>
        </w:rPr>
        <w:t>202</w:t>
      </w:r>
      <w:r>
        <w:rPr>
          <w:rFonts w:hint="default" w:ascii="Times New Roman" w:hAnsi="Times New Roman" w:eastAsia="方正小标宋简体" w:cs="Times New Roman"/>
          <w:sz w:val="36"/>
          <w:szCs w:val="36"/>
          <w:highlight w:val="none"/>
          <w:lang w:val="en-US" w:eastAsia="zh-CN"/>
        </w:rPr>
        <w:t>3</w:t>
      </w:r>
      <w:r>
        <w:rPr>
          <w:rFonts w:hint="default" w:ascii="Times New Roman" w:hAnsi="Times New Roman" w:eastAsia="方正小标宋简体" w:cs="Times New Roman"/>
          <w:sz w:val="36"/>
          <w:szCs w:val="36"/>
          <w:highlight w:val="none"/>
        </w:rPr>
        <w:t>年度部门整体支出绩效评价基础数据表</w:t>
      </w:r>
    </w:p>
    <w:tbl>
      <w:tblPr>
        <w:tblStyle w:val="6"/>
        <w:tblW w:w="9673" w:type="dxa"/>
        <w:jc w:val="center"/>
        <w:tblInd w:w="0" w:type="dxa"/>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Layout w:type="fixed"/>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sz w:val="20"/>
                <w:szCs w:val="20"/>
                <w:highlight w:val="none"/>
              </w:rPr>
            </w:pPr>
            <w:r>
              <w:rPr>
                <w:rFonts w:hint="default" w:ascii="Times New Roman" w:hAnsi="Times New Roman" w:eastAsia="仿宋_GB2312" w:cs="Times New Roman"/>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sz w:val="20"/>
                <w:szCs w:val="20"/>
                <w:highlight w:val="none"/>
              </w:rPr>
            </w:pPr>
            <w:r>
              <w:rPr>
                <w:rFonts w:hint="default" w:ascii="Times New Roman" w:hAnsi="Times New Roman" w:eastAsia="仿宋_GB2312" w:cs="Times New Roman"/>
                <w:b/>
                <w:bCs/>
                <w:sz w:val="20"/>
                <w:szCs w:val="20"/>
                <w:highlight w:val="none"/>
              </w:rPr>
              <w:t>202</w:t>
            </w:r>
            <w:r>
              <w:rPr>
                <w:rFonts w:hint="default" w:ascii="Times New Roman" w:hAnsi="Times New Roman" w:eastAsia="仿宋_GB2312" w:cs="Times New Roman"/>
                <w:b/>
                <w:bCs/>
                <w:sz w:val="20"/>
                <w:szCs w:val="20"/>
                <w:highlight w:val="none"/>
                <w:lang w:val="en-US" w:eastAsia="zh-CN"/>
              </w:rPr>
              <w:t>3</w:t>
            </w:r>
            <w:r>
              <w:rPr>
                <w:rFonts w:hint="default" w:ascii="Times New Roman" w:hAnsi="Times New Roman" w:eastAsia="仿宋_GB2312" w:cs="Times New Roman"/>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sz w:val="20"/>
                <w:szCs w:val="20"/>
                <w:highlight w:val="none"/>
              </w:rPr>
            </w:pPr>
            <w:r>
              <w:rPr>
                <w:rFonts w:hint="default" w:ascii="Times New Roman" w:hAnsi="Times New Roman" w:eastAsia="仿宋_GB2312" w:cs="Times New Roman"/>
                <w:b/>
                <w:bCs/>
                <w:sz w:val="20"/>
                <w:szCs w:val="20"/>
                <w:highlight w:val="none"/>
              </w:rPr>
              <w:t>控制率</w:t>
            </w:r>
          </w:p>
        </w:tc>
      </w:tr>
      <w:tr>
        <w:tblPrEx>
          <w:tblLayout w:type="fixed"/>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1008</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eastAsia="zh-CN"/>
              </w:rPr>
              <w:t>835</w:t>
            </w:r>
          </w:p>
        </w:tc>
        <w:tc>
          <w:tcPr>
            <w:tcW w:w="20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82.84%</w:t>
            </w:r>
            <w:r>
              <w:rPr>
                <w:rFonts w:hint="default" w:ascii="Times New Roman" w:hAnsi="Times New Roman" w:eastAsia="仿宋_GB2312" w:cs="Times New Roman"/>
                <w:sz w:val="20"/>
                <w:szCs w:val="20"/>
                <w:highlight w:val="none"/>
              </w:rPr>
              <w:t>　</w:t>
            </w:r>
          </w:p>
        </w:tc>
      </w:tr>
      <w:tr>
        <w:tblPrEx>
          <w:tblLayout w:type="fixed"/>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sz w:val="20"/>
                <w:szCs w:val="20"/>
                <w:highlight w:val="none"/>
              </w:rPr>
            </w:pPr>
            <w:r>
              <w:rPr>
                <w:rFonts w:hint="default" w:ascii="Times New Roman" w:hAnsi="Times New Roman" w:eastAsia="仿宋_GB2312" w:cs="Times New Roman"/>
                <w:b/>
                <w:bCs/>
                <w:sz w:val="20"/>
                <w:szCs w:val="20"/>
                <w:highlight w:val="none"/>
              </w:rPr>
              <w:t>202</w:t>
            </w:r>
            <w:r>
              <w:rPr>
                <w:rFonts w:hint="default" w:ascii="Times New Roman" w:hAnsi="Times New Roman" w:eastAsia="仿宋_GB2312" w:cs="Times New Roman"/>
                <w:b/>
                <w:bCs/>
                <w:sz w:val="20"/>
                <w:szCs w:val="20"/>
                <w:highlight w:val="none"/>
                <w:lang w:val="en-US" w:eastAsia="zh-CN"/>
              </w:rPr>
              <w:t>2</w:t>
            </w:r>
            <w:r>
              <w:rPr>
                <w:rFonts w:hint="default" w:ascii="Times New Roman" w:hAnsi="Times New Roman" w:eastAsia="仿宋_GB2312" w:cs="Times New Roman"/>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sz w:val="20"/>
                <w:szCs w:val="20"/>
                <w:highlight w:val="none"/>
              </w:rPr>
            </w:pPr>
            <w:r>
              <w:rPr>
                <w:rFonts w:hint="default" w:ascii="Times New Roman" w:hAnsi="Times New Roman" w:eastAsia="仿宋_GB2312" w:cs="Times New Roman"/>
                <w:b/>
                <w:bCs/>
                <w:sz w:val="20"/>
                <w:szCs w:val="20"/>
                <w:highlight w:val="none"/>
              </w:rPr>
              <w:t>202</w:t>
            </w:r>
            <w:r>
              <w:rPr>
                <w:rFonts w:hint="default" w:ascii="Times New Roman" w:hAnsi="Times New Roman" w:eastAsia="仿宋_GB2312" w:cs="Times New Roman"/>
                <w:b/>
                <w:bCs/>
                <w:sz w:val="20"/>
                <w:szCs w:val="20"/>
                <w:highlight w:val="none"/>
                <w:lang w:val="en-US" w:eastAsia="zh-CN"/>
              </w:rPr>
              <w:t>3</w:t>
            </w:r>
            <w:r>
              <w:rPr>
                <w:rFonts w:hint="default" w:ascii="Times New Roman" w:hAnsi="Times New Roman" w:eastAsia="仿宋_GB2312" w:cs="Times New Roman"/>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sz w:val="20"/>
                <w:szCs w:val="20"/>
                <w:highlight w:val="none"/>
              </w:rPr>
            </w:pPr>
            <w:r>
              <w:rPr>
                <w:rFonts w:hint="default" w:ascii="Times New Roman" w:hAnsi="Times New Roman" w:eastAsia="仿宋_GB2312" w:cs="Times New Roman"/>
                <w:b/>
                <w:bCs/>
                <w:sz w:val="20"/>
                <w:szCs w:val="20"/>
                <w:highlight w:val="none"/>
              </w:rPr>
              <w:t>202</w:t>
            </w:r>
            <w:r>
              <w:rPr>
                <w:rFonts w:hint="default" w:ascii="Times New Roman" w:hAnsi="Times New Roman" w:eastAsia="仿宋_GB2312" w:cs="Times New Roman"/>
                <w:b/>
                <w:bCs/>
                <w:sz w:val="20"/>
                <w:szCs w:val="20"/>
                <w:highlight w:val="none"/>
                <w:lang w:val="en-US" w:eastAsia="zh-CN"/>
              </w:rPr>
              <w:t>3</w:t>
            </w:r>
            <w:r>
              <w:rPr>
                <w:rFonts w:hint="default" w:ascii="Times New Roman" w:hAnsi="Times New Roman" w:eastAsia="仿宋_GB2312" w:cs="Times New Roman"/>
                <w:b/>
                <w:bCs/>
                <w:sz w:val="20"/>
                <w:szCs w:val="20"/>
                <w:highlight w:val="none"/>
              </w:rPr>
              <w:t>年决算数</w:t>
            </w:r>
          </w:p>
        </w:tc>
      </w:tr>
      <w:tr>
        <w:tblPrEx>
          <w:tblLayout w:type="fixed"/>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8.64</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61</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4.15</w:t>
            </w:r>
          </w:p>
        </w:tc>
      </w:tr>
      <w:tr>
        <w:tblPrEx>
          <w:tblLayout w:type="fixed"/>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1.34</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6</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1.98</w:t>
            </w:r>
          </w:p>
        </w:tc>
      </w:tr>
      <w:tr>
        <w:tblPrEx>
          <w:tblLayout w:type="fixed"/>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w:t>
            </w:r>
          </w:p>
        </w:tc>
      </w:tr>
      <w:tr>
        <w:tblPrEx>
          <w:tblLayout w:type="fixed"/>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1.34</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6</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1.98</w:t>
            </w:r>
          </w:p>
        </w:tc>
      </w:tr>
      <w:tr>
        <w:tblPrEx>
          <w:tblLayout w:type="fixed"/>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20</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1.09</w:t>
            </w:r>
          </w:p>
        </w:tc>
      </w:tr>
      <w:tr>
        <w:tblPrEx>
          <w:tblLayout w:type="fixed"/>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7.30</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35</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1.08</w:t>
            </w:r>
          </w:p>
        </w:tc>
      </w:tr>
      <w:tr>
        <w:tblPrEx>
          <w:tblLayout w:type="fixed"/>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22192.79</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20540.07</w:t>
            </w:r>
          </w:p>
        </w:tc>
      </w:tr>
      <w:tr>
        <w:tblPrEx>
          <w:tblLayout w:type="fixed"/>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sz w:val="20"/>
                <w:szCs w:val="20"/>
              </w:rPr>
              <w:t>　</w:t>
            </w:r>
            <w:r>
              <w:rPr>
                <w:rFonts w:hint="default" w:ascii="Times New Roman" w:hAnsi="Times New Roman" w:eastAsia="仿宋_GB2312" w:cs="Times New Roman"/>
                <w:sz w:val="20"/>
                <w:szCs w:val="20"/>
                <w:lang w:val="en-US" w:eastAsia="zh-CN"/>
              </w:rPr>
              <w:t>-</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kern w:val="0"/>
                <w:sz w:val="20"/>
                <w:szCs w:val="20"/>
                <w:lang w:val="en-US" w:eastAsia="zh-CN" w:bidi="ar-SA"/>
              </w:rPr>
              <w:t>17528.07</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sz w:val="20"/>
                <w:szCs w:val="20"/>
                <w:lang w:val="en-US" w:eastAsia="zh-CN"/>
              </w:rPr>
              <w:t>15912.94</w:t>
            </w:r>
          </w:p>
        </w:tc>
      </w:tr>
      <w:tr>
        <w:tblPrEx>
          <w:tblLayout w:type="fixed"/>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sz w:val="20"/>
                <w:szCs w:val="20"/>
              </w:rPr>
              <w:t>　</w:t>
            </w:r>
            <w:r>
              <w:rPr>
                <w:rFonts w:hint="default" w:ascii="Times New Roman" w:hAnsi="Times New Roman" w:eastAsia="仿宋_GB2312" w:cs="Times New Roman"/>
                <w:sz w:val="20"/>
                <w:szCs w:val="20"/>
                <w:lang w:val="en-US" w:eastAsia="zh-CN"/>
              </w:rPr>
              <w:t>-</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sz w:val="20"/>
                <w:szCs w:val="20"/>
                <w:lang w:val="en-US" w:eastAsia="zh-CN"/>
              </w:rPr>
              <w:t>4614.72</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sz w:val="20"/>
                <w:szCs w:val="20"/>
                <w:lang w:val="en-US" w:eastAsia="zh-CN"/>
              </w:rPr>
              <w:t>4577.13</w:t>
            </w:r>
          </w:p>
        </w:tc>
      </w:tr>
      <w:tr>
        <w:tblPrEx>
          <w:tblLayout w:type="fixed"/>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3、现代物流产业发展研究院2020年财政专项资金</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sz w:val="20"/>
                <w:szCs w:val="20"/>
              </w:rPr>
              <w:t>　</w:t>
            </w:r>
            <w:r>
              <w:rPr>
                <w:rFonts w:hint="default" w:ascii="Times New Roman" w:hAnsi="Times New Roman" w:eastAsia="仿宋_GB2312" w:cs="Times New Roman"/>
                <w:sz w:val="20"/>
                <w:szCs w:val="20"/>
                <w:lang w:val="en-US" w:eastAsia="zh-CN"/>
              </w:rPr>
              <w:t>-</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sz w:val="20"/>
                <w:szCs w:val="20"/>
                <w:lang w:val="en-US" w:eastAsia="zh-CN"/>
              </w:rPr>
              <w:t>50</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sz w:val="20"/>
                <w:szCs w:val="20"/>
                <w:lang w:val="en-US" w:eastAsia="zh-CN"/>
              </w:rPr>
              <w:t>50</w:t>
            </w:r>
          </w:p>
        </w:tc>
      </w:tr>
      <w:tr>
        <w:tblPrEx>
          <w:tblLayout w:type="fixed"/>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4870.34　</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2636.38</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2636.38</w:t>
            </w:r>
          </w:p>
        </w:tc>
      </w:tr>
      <w:tr>
        <w:tblPrEx>
          <w:tblLayout w:type="fixed"/>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69.91</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36.38</w:t>
            </w:r>
          </w:p>
        </w:tc>
      </w:tr>
      <w:tr>
        <w:tblPrEx>
          <w:tblLayout w:type="fixed"/>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481.31</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368.61</w:t>
            </w:r>
          </w:p>
        </w:tc>
      </w:tr>
      <w:tr>
        <w:tblPrEx>
          <w:tblLayout w:type="fixed"/>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13.43</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154.79</w:t>
            </w:r>
          </w:p>
        </w:tc>
      </w:tr>
      <w:tr>
        <w:tblPrEx>
          <w:tblLayout w:type="fixed"/>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33 31.50</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16109.13</w:t>
            </w:r>
          </w:p>
        </w:tc>
      </w:tr>
      <w:tr>
        <w:tblPrEx>
          <w:tblLayout w:type="fixed"/>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w:t>
            </w:r>
          </w:p>
        </w:tc>
        <w:tc>
          <w:tcPr>
            <w:tcW w:w="204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　</w:t>
            </w:r>
          </w:p>
        </w:tc>
      </w:tr>
      <w:tr>
        <w:tblPrEx>
          <w:tblLayout w:type="fixed"/>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楼堂馆所控制情况</w:t>
            </w:r>
            <w:r>
              <w:rPr>
                <w:rFonts w:hint="default" w:ascii="Times New Roman" w:hAnsi="Times New Roman" w:eastAsia="仿宋_GB2312" w:cs="Times New Roman"/>
                <w:sz w:val="20"/>
                <w:szCs w:val="20"/>
                <w:highlight w:val="none"/>
              </w:rPr>
              <w:br w:type="textWrapping"/>
            </w:r>
            <w:r>
              <w:rPr>
                <w:rFonts w:hint="default" w:ascii="Times New Roman" w:hAnsi="Times New Roman" w:eastAsia="仿宋_GB2312" w:cs="Times New Roman"/>
                <w:sz w:val="20"/>
                <w:szCs w:val="20"/>
                <w:highlight w:val="none"/>
              </w:rPr>
              <w:t>（202</w:t>
            </w:r>
            <w:r>
              <w:rPr>
                <w:rFonts w:hint="default" w:ascii="Times New Roman" w:hAnsi="Times New Roman" w:eastAsia="仿宋_GB2312" w:cs="Times New Roman"/>
                <w:sz w:val="20"/>
                <w:szCs w:val="20"/>
                <w:highlight w:val="none"/>
                <w:lang w:val="en-US" w:eastAsia="zh-CN"/>
              </w:rPr>
              <w:t>3</w:t>
            </w:r>
            <w:r>
              <w:rPr>
                <w:rFonts w:hint="default" w:ascii="Times New Roman" w:hAnsi="Times New Roman" w:eastAsia="仿宋_GB2312" w:cs="Times New Roman"/>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Cs/>
                <w:sz w:val="20"/>
                <w:szCs w:val="20"/>
                <w:highlight w:val="none"/>
              </w:rPr>
            </w:pPr>
            <w:r>
              <w:rPr>
                <w:rFonts w:hint="default" w:ascii="Times New Roman" w:hAnsi="Times New Roman" w:eastAsia="仿宋_GB2312" w:cs="Times New Roman"/>
                <w:bCs/>
                <w:sz w:val="20"/>
                <w:szCs w:val="20"/>
                <w:highlight w:val="none"/>
              </w:rPr>
              <w:t>批复规模</w:t>
            </w:r>
            <w:r>
              <w:rPr>
                <w:rFonts w:hint="default" w:ascii="Times New Roman" w:hAnsi="Times New Roman" w:eastAsia="仿宋_GB2312" w:cs="Times New Roman"/>
                <w:bCs/>
                <w:sz w:val="20"/>
                <w:szCs w:val="20"/>
                <w:highlight w:val="none"/>
              </w:rPr>
              <w:br w:type="textWrapping"/>
            </w:r>
            <w:r>
              <w:rPr>
                <w:rFonts w:hint="default" w:ascii="Times New Roman" w:hAnsi="Times New Roman" w:eastAsia="仿宋_GB2312" w:cs="Times New Roman"/>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Cs/>
                <w:sz w:val="20"/>
                <w:szCs w:val="20"/>
                <w:highlight w:val="none"/>
              </w:rPr>
            </w:pPr>
            <w:r>
              <w:rPr>
                <w:rFonts w:hint="default" w:ascii="Times New Roman" w:hAnsi="Times New Roman" w:eastAsia="仿宋_GB2312" w:cs="Times New Roman"/>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Cs/>
                <w:sz w:val="20"/>
                <w:szCs w:val="20"/>
                <w:highlight w:val="none"/>
              </w:rPr>
            </w:pPr>
            <w:r>
              <w:rPr>
                <w:rFonts w:hint="default" w:ascii="Times New Roman" w:hAnsi="Times New Roman" w:eastAsia="仿宋_GB2312" w:cs="Times New Roman"/>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Cs/>
                <w:sz w:val="20"/>
                <w:szCs w:val="20"/>
                <w:highlight w:val="none"/>
              </w:rPr>
            </w:pPr>
            <w:r>
              <w:rPr>
                <w:rFonts w:hint="default" w:ascii="Times New Roman" w:hAnsi="Times New Roman" w:eastAsia="仿宋_GB2312" w:cs="Times New Roman"/>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Cs/>
                <w:sz w:val="20"/>
                <w:szCs w:val="20"/>
                <w:highlight w:val="none"/>
              </w:rPr>
            </w:pPr>
            <w:r>
              <w:rPr>
                <w:rFonts w:hint="default" w:ascii="Times New Roman" w:hAnsi="Times New Roman" w:eastAsia="仿宋_GB2312" w:cs="Times New Roman"/>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Cs/>
                <w:sz w:val="20"/>
                <w:szCs w:val="20"/>
                <w:highlight w:val="none"/>
              </w:rPr>
            </w:pPr>
            <w:r>
              <w:rPr>
                <w:rFonts w:hint="default" w:ascii="Times New Roman" w:hAnsi="Times New Roman" w:eastAsia="仿宋_GB2312" w:cs="Times New Roman"/>
                <w:bCs/>
                <w:sz w:val="20"/>
                <w:szCs w:val="20"/>
                <w:highlight w:val="none"/>
              </w:rPr>
              <w:t>投资概算控制率</w:t>
            </w:r>
          </w:p>
        </w:tc>
      </w:tr>
      <w:tr>
        <w:tblPrEx>
          <w:tblLayout w:type="fixed"/>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0"/>
                <w:szCs w:val="20"/>
                <w:highlight w:val="none"/>
              </w:rPr>
            </w:pP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w:t>
            </w:r>
          </w:p>
        </w:tc>
        <w:tc>
          <w:tcPr>
            <w:tcW w:w="84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w:t>
            </w:r>
          </w:p>
        </w:tc>
        <w:tc>
          <w:tcPr>
            <w:tcW w:w="11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w:t>
            </w:r>
          </w:p>
        </w:tc>
        <w:tc>
          <w:tcPr>
            <w:tcW w:w="111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w:t>
            </w:r>
          </w:p>
        </w:tc>
        <w:tc>
          <w:tcPr>
            <w:tcW w:w="108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w:t>
            </w:r>
          </w:p>
        </w:tc>
      </w:tr>
      <w:tr>
        <w:tblPrEx>
          <w:tblLayout w:type="fixed"/>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严格预算管理，提升资金绩效，坚决落实过“紧日子”要求，改进工作风，节约各项开支，做好源头管控</w:t>
            </w:r>
          </w:p>
        </w:tc>
      </w:tr>
    </w:tbl>
    <w:p>
      <w:pPr>
        <w:keepNext w:val="0"/>
        <w:keepLines w:val="0"/>
        <w:pageBreakBefore w:val="0"/>
        <w:widowControl w:val="0"/>
        <w:kinsoku/>
        <w:wordWrap/>
        <w:overflowPunct/>
        <w:topLinePunct w:val="0"/>
        <w:autoSpaceDE/>
        <w:autoSpaceDN/>
        <w:bidi w:val="0"/>
        <w:adjustRightInd/>
        <w:snapToGrid/>
        <w:spacing w:afterLines="0" w:line="400" w:lineRule="exact"/>
        <w:jc w:val="left"/>
        <w:textAlignment w:val="auto"/>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keepNext w:val="0"/>
        <w:keepLines w:val="0"/>
        <w:pageBreakBefore w:val="0"/>
        <w:widowControl w:val="0"/>
        <w:kinsoku/>
        <w:wordWrap/>
        <w:overflowPunct/>
        <w:topLinePunct w:val="0"/>
        <w:autoSpaceDE/>
        <w:autoSpaceDN/>
        <w:bidi w:val="0"/>
        <w:adjustRightInd/>
        <w:snapToGrid/>
        <w:spacing w:afterLines="0" w:line="400" w:lineRule="exact"/>
        <w:jc w:val="left"/>
        <w:textAlignment w:val="auto"/>
        <w:rPr>
          <w:rFonts w:hint="default" w:ascii="Times New Roman" w:hAnsi="Times New Roman" w:eastAsia="仿宋_GB2312" w:cs="Times New Roman"/>
          <w:sz w:val="22"/>
          <w:highlight w:val="none"/>
        </w:rPr>
      </w:pPr>
    </w:p>
    <w:p>
      <w:pPr>
        <w:keepNext w:val="0"/>
        <w:keepLines w:val="0"/>
        <w:pageBreakBefore w:val="0"/>
        <w:widowControl w:val="0"/>
        <w:kinsoku/>
        <w:wordWrap/>
        <w:overflowPunct/>
        <w:topLinePunct w:val="0"/>
        <w:autoSpaceDE/>
        <w:autoSpaceDN/>
        <w:bidi w:val="0"/>
        <w:adjustRightInd/>
        <w:snapToGrid/>
        <w:spacing w:after="0" w:afterLines="0" w:line="400" w:lineRule="exact"/>
        <w:jc w:val="left"/>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填表人：</w:t>
      </w:r>
      <w:r>
        <w:rPr>
          <w:rFonts w:hint="default" w:ascii="Times New Roman" w:hAnsi="Times New Roman" w:eastAsia="仿宋_GB2312" w:cs="Times New Roman"/>
          <w:sz w:val="22"/>
          <w:szCs w:val="22"/>
          <w:highlight w:val="none"/>
          <w:lang w:val="en-US" w:eastAsia="zh-CN"/>
        </w:rPr>
        <w:t>李倩敏</w:t>
      </w:r>
      <w:r>
        <w:rPr>
          <w:rFonts w:hint="default" w:ascii="Times New Roman" w:hAnsi="Times New Roman" w:eastAsia="仿宋_GB2312" w:cs="Times New Roman"/>
          <w:sz w:val="22"/>
          <w:szCs w:val="22"/>
          <w:highlight w:val="none"/>
        </w:rPr>
        <w:t xml:space="preserve">      填报日期：</w:t>
      </w:r>
      <w:r>
        <w:rPr>
          <w:rFonts w:hint="default" w:ascii="Times New Roman" w:hAnsi="Times New Roman" w:eastAsia="仿宋_GB2312" w:cs="Times New Roman"/>
          <w:sz w:val="22"/>
          <w:szCs w:val="22"/>
          <w:highlight w:val="none"/>
          <w:lang w:val="en-US" w:eastAsia="zh-CN"/>
        </w:rPr>
        <w:t>2024.6.26</w:t>
      </w:r>
      <w:r>
        <w:rPr>
          <w:rFonts w:hint="default" w:ascii="Times New Roman" w:hAnsi="Times New Roman" w:eastAsia="仿宋_GB2312" w:cs="Times New Roman"/>
          <w:sz w:val="22"/>
          <w:szCs w:val="22"/>
          <w:highlight w:val="none"/>
        </w:rPr>
        <w:t xml:space="preserve">    联系电话：</w:t>
      </w:r>
      <w:r>
        <w:rPr>
          <w:rFonts w:hint="default" w:ascii="Times New Roman" w:hAnsi="Times New Roman" w:eastAsia="仿宋_GB2312" w:cs="Times New Roman"/>
          <w:sz w:val="22"/>
          <w:szCs w:val="22"/>
          <w:highlight w:val="none"/>
          <w:lang w:val="en-US" w:eastAsia="zh-CN"/>
        </w:rPr>
        <w:t xml:space="preserve">18890345258 </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after="120" w:afterLines="50"/>
        <w:jc w:val="center"/>
        <w:textAlignment w:val="auto"/>
        <w:rPr>
          <w:rFonts w:hint="default" w:ascii="Times New Roman" w:hAnsi="Times New Roman" w:eastAsia="方正小标宋简体" w:cs="Times New Roman"/>
          <w:color w:val="000000"/>
          <w:sz w:val="36"/>
          <w:szCs w:val="36"/>
          <w:highlight w:val="none"/>
        </w:rPr>
      </w:pPr>
      <w:r>
        <w:rPr>
          <w:rFonts w:hint="default" w:ascii="Times New Roman" w:hAnsi="Times New Roman" w:eastAsia="方正小标宋简体" w:cs="Times New Roman"/>
          <w:color w:val="000000"/>
          <w:sz w:val="36"/>
          <w:szCs w:val="36"/>
          <w:highlight w:val="none"/>
        </w:rPr>
        <w:t>202</w:t>
      </w:r>
      <w:r>
        <w:rPr>
          <w:rFonts w:hint="default" w:ascii="Times New Roman" w:hAnsi="Times New Roman" w:eastAsia="方正小标宋简体" w:cs="Times New Roman"/>
          <w:color w:val="000000"/>
          <w:sz w:val="36"/>
          <w:szCs w:val="36"/>
          <w:highlight w:val="none"/>
          <w:lang w:val="en-US" w:eastAsia="zh-CN"/>
        </w:rPr>
        <w:t>3</w:t>
      </w:r>
      <w:r>
        <w:rPr>
          <w:rFonts w:hint="default" w:ascii="Times New Roman" w:hAnsi="Times New Roman" w:eastAsia="方正小标宋简体" w:cs="Times New Roman"/>
          <w:color w:val="000000"/>
          <w:sz w:val="36"/>
          <w:szCs w:val="36"/>
          <w:highlight w:val="none"/>
        </w:rPr>
        <w:t>年度部门整体支出绩效自评表</w:t>
      </w:r>
    </w:p>
    <w:tbl>
      <w:tblPr>
        <w:tblStyle w:val="6"/>
        <w:tblW w:w="99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1"/>
        <w:gridCol w:w="1223"/>
        <w:gridCol w:w="1311"/>
        <w:gridCol w:w="1844"/>
        <w:gridCol w:w="680"/>
        <w:gridCol w:w="74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eastAsia="zh-CN"/>
              </w:rPr>
              <w:t>市</w:t>
            </w:r>
            <w:r>
              <w:rPr>
                <w:rFonts w:hint="default" w:ascii="Times New Roman" w:hAnsi="Times New Roman" w:eastAsia="仿宋_GB2312" w:cs="Times New Roman"/>
                <w:color w:val="000000"/>
                <w:sz w:val="20"/>
                <w:szCs w:val="20"/>
                <w:highlight w:val="none"/>
              </w:rPr>
              <w:t>级预算部门名称</w:t>
            </w:r>
          </w:p>
        </w:tc>
        <w:tc>
          <w:tcPr>
            <w:tcW w:w="8885"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lang w:val="en-US" w:eastAsia="zh-CN"/>
              </w:rPr>
              <w:t>岳阳职业技术学院</w:t>
            </w:r>
            <w:r>
              <w:rPr>
                <w:rFonts w:hint="default" w:ascii="Times New Roman" w:hAnsi="Times New Roman" w:eastAsia="仿宋_GB2312" w:cs="Times New Roman"/>
                <w:color w:val="000000"/>
                <w:sz w:val="20"/>
                <w:szCs w:val="20"/>
              </w:rPr>
              <w:t>　</w:t>
            </w: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年度预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算申请</w:t>
            </w:r>
            <w:r>
              <w:rPr>
                <w:rFonts w:hint="default" w:ascii="Times New Roman" w:hAnsi="Times New Roman" w:eastAsia="仿宋_GB2312" w:cs="Times New Roman"/>
                <w:color w:val="000000"/>
                <w:sz w:val="20"/>
                <w:szCs w:val="20"/>
                <w:highlight w:val="none"/>
              </w:rPr>
              <w:br w:type="textWrapping"/>
            </w:r>
            <w:r>
              <w:rPr>
                <w:rFonts w:hint="default" w:ascii="Times New Roman" w:hAnsi="Times New Roman" w:eastAsia="仿宋_GB2312" w:cs="Times New Roman"/>
                <w:color w:val="000000"/>
                <w:sz w:val="20"/>
                <w:szCs w:val="20"/>
                <w:highlight w:val="none"/>
              </w:rPr>
              <w:t>（万元）</w:t>
            </w:r>
          </w:p>
        </w:tc>
        <w:tc>
          <w:tcPr>
            <w:tcW w:w="21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0"/>
                <w:szCs w:val="20"/>
                <w:highlight w:val="none"/>
              </w:rPr>
            </w:pP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年初预算数</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全年预算数</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全年执行数</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分值</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执行率</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21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color w:val="000000"/>
                <w:sz w:val="20"/>
                <w:szCs w:val="20"/>
                <w:highlight w:val="none"/>
              </w:rPr>
              <w:t>年度资金总额</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16945</w:t>
            </w:r>
            <w:r>
              <w:rPr>
                <w:rFonts w:hint="default"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96</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36006</w:t>
            </w:r>
            <w:r>
              <w:rPr>
                <w:rFonts w:hint="default"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06</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33225.77</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92.28%</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469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按收入性质分：</w:t>
            </w:r>
          </w:p>
        </w:tc>
        <w:tc>
          <w:tcPr>
            <w:tcW w:w="419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469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xml:space="preserve">  其中：  一般公共预算：</w:t>
            </w:r>
            <w:r>
              <w:rPr>
                <w:rFonts w:hint="default" w:ascii="Times New Roman" w:hAnsi="Times New Roman" w:eastAsia="仿宋_GB2312" w:cs="Times New Roman"/>
                <w:color w:val="000000"/>
                <w:sz w:val="20"/>
                <w:szCs w:val="20"/>
                <w:highlight w:val="none"/>
                <w:lang w:val="en-US" w:eastAsia="zh-CN"/>
              </w:rPr>
              <w:t xml:space="preserve">             </w:t>
            </w:r>
            <w:r>
              <w:rPr>
                <w:rFonts w:hint="default" w:ascii="Times New Roman" w:hAnsi="Times New Roman" w:eastAsia="仿宋_GB2312" w:cs="Times New Roman"/>
                <w:color w:val="000000"/>
                <w:sz w:val="20"/>
                <w:szCs w:val="20"/>
                <w:highlight w:val="none"/>
              </w:rPr>
              <w:t>15992</w:t>
            </w:r>
            <w:r>
              <w:rPr>
                <w:rFonts w:hint="default" w:ascii="Times New Roman" w:hAnsi="Times New Roman" w:eastAsia="仿宋_GB2312" w:cs="Times New Roman"/>
                <w:color w:val="000000"/>
                <w:sz w:val="20"/>
                <w:szCs w:val="20"/>
                <w:highlight w:val="none"/>
                <w:lang w:val="en-US" w:eastAsia="zh-CN"/>
              </w:rPr>
              <w:t>.</w:t>
            </w:r>
            <w:r>
              <w:rPr>
                <w:rFonts w:hint="default" w:ascii="Times New Roman" w:hAnsi="Times New Roman" w:eastAsia="仿宋_GB2312" w:cs="Times New Roman"/>
                <w:color w:val="000000"/>
                <w:sz w:val="20"/>
                <w:szCs w:val="20"/>
                <w:highlight w:val="none"/>
              </w:rPr>
              <w:t>15</w:t>
            </w:r>
          </w:p>
        </w:tc>
        <w:tc>
          <w:tcPr>
            <w:tcW w:w="419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其中：基本支出：</w:t>
            </w:r>
            <w:r>
              <w:rPr>
                <w:rFonts w:hint="default" w:ascii="Times New Roman" w:hAnsi="Times New Roman" w:eastAsia="仿宋_GB2312" w:cs="Times New Roman"/>
                <w:color w:val="000000"/>
                <w:sz w:val="20"/>
                <w:szCs w:val="20"/>
                <w:highlight w:val="none"/>
                <w:lang w:val="en-US" w:eastAsia="zh-CN"/>
              </w:rPr>
              <w:t xml:space="preserve">          </w:t>
            </w:r>
            <w:r>
              <w:rPr>
                <w:rFonts w:hint="default" w:ascii="Times New Roman" w:hAnsi="Times New Roman" w:eastAsia="仿宋_GB2312" w:cs="Times New Roman"/>
                <w:color w:val="000000"/>
                <w:sz w:val="20"/>
                <w:szCs w:val="20"/>
                <w:highlight w:val="none"/>
              </w:rPr>
              <w:t>15423</w:t>
            </w:r>
            <w:r>
              <w:rPr>
                <w:rFonts w:hint="default" w:ascii="Times New Roman" w:hAnsi="Times New Roman" w:eastAsia="仿宋_GB2312" w:cs="Times New Roman"/>
                <w:color w:val="000000"/>
                <w:sz w:val="20"/>
                <w:szCs w:val="20"/>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469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800" w:firstLineChars="40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政府性基金拨款：</w:t>
            </w:r>
          </w:p>
        </w:tc>
        <w:tc>
          <w:tcPr>
            <w:tcW w:w="419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600" w:firstLineChars="30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项目支出：</w:t>
            </w:r>
            <w:r>
              <w:rPr>
                <w:rFonts w:hint="default" w:ascii="Times New Roman" w:hAnsi="Times New Roman" w:eastAsia="仿宋_GB2312" w:cs="Times New Roman"/>
                <w:color w:val="000000"/>
                <w:sz w:val="20"/>
                <w:szCs w:val="20"/>
                <w:highlight w:val="none"/>
                <w:lang w:val="en-US" w:eastAsia="zh-CN"/>
              </w:rPr>
              <w:t xml:space="preserve">          </w:t>
            </w:r>
            <w:r>
              <w:rPr>
                <w:rFonts w:hint="default" w:ascii="Times New Roman" w:hAnsi="Times New Roman" w:eastAsia="仿宋_GB2312" w:cs="Times New Roman"/>
                <w:color w:val="000000"/>
                <w:sz w:val="20"/>
                <w:szCs w:val="20"/>
                <w:highlight w:val="none"/>
              </w:rPr>
              <w:t>17801</w:t>
            </w:r>
            <w:r>
              <w:rPr>
                <w:rFonts w:hint="default" w:ascii="Times New Roman" w:hAnsi="Times New Roman" w:eastAsia="仿宋_GB2312" w:cs="Times New Roman"/>
                <w:color w:val="000000"/>
                <w:sz w:val="20"/>
                <w:szCs w:val="20"/>
                <w:highlight w:val="none"/>
                <w:lang w:val="en-US" w:eastAsia="zh-CN"/>
              </w:rPr>
              <w:t>.</w:t>
            </w:r>
            <w:r>
              <w:rPr>
                <w:rFonts w:hint="default" w:ascii="Times New Roman" w:hAnsi="Times New Roman" w:eastAsia="仿宋_GB2312" w:cs="Times New Roman"/>
                <w:color w:val="000000"/>
                <w:sz w:val="20"/>
                <w:szCs w:val="20"/>
                <w:highlight w:val="none"/>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lang w:eastAsia="zh-CN"/>
              </w:rPr>
            </w:pPr>
            <w:r>
              <w:rPr>
                <w:rFonts w:hint="default" w:ascii="Times New Roman" w:hAnsi="Times New Roman" w:eastAsia="仿宋_GB2312" w:cs="Times New Roman"/>
                <w:color w:val="000000"/>
                <w:sz w:val="20"/>
                <w:szCs w:val="20"/>
                <w:highlight w:val="none"/>
                <w:lang w:eastAsia="zh-CN"/>
              </w:rPr>
              <w:t xml:space="preserve"> </w:t>
            </w:r>
          </w:p>
        </w:tc>
        <w:tc>
          <w:tcPr>
            <w:tcW w:w="469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rPr>
              <w:t>纳入专户管理的非税收入拨款：</w:t>
            </w:r>
            <w:r>
              <w:rPr>
                <w:rFonts w:hint="default" w:ascii="Times New Roman" w:hAnsi="Times New Roman" w:eastAsia="仿宋_GB2312" w:cs="Times New Roman"/>
                <w:color w:val="000000"/>
                <w:sz w:val="20"/>
                <w:szCs w:val="20"/>
                <w:highlight w:val="none"/>
                <w:lang w:val="en-US" w:eastAsia="zh-CN"/>
              </w:rPr>
              <w:t xml:space="preserve">          9085.96</w:t>
            </w:r>
          </w:p>
        </w:tc>
        <w:tc>
          <w:tcPr>
            <w:tcW w:w="419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469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1400" w:firstLineChars="700"/>
              <w:jc w:val="left"/>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rPr>
              <w:t>其他资金：</w:t>
            </w:r>
            <w:r>
              <w:rPr>
                <w:rFonts w:hint="default" w:ascii="Times New Roman" w:hAnsi="Times New Roman" w:eastAsia="仿宋_GB2312" w:cs="Times New Roman"/>
                <w:color w:val="000000"/>
                <w:sz w:val="20"/>
                <w:szCs w:val="20"/>
                <w:highlight w:val="none"/>
                <w:lang w:val="en-US" w:eastAsia="zh-CN"/>
              </w:rPr>
              <w:t xml:space="preserve">             10927.95</w:t>
            </w:r>
          </w:p>
        </w:tc>
        <w:tc>
          <w:tcPr>
            <w:tcW w:w="419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年度总体目标</w:t>
            </w:r>
          </w:p>
        </w:tc>
        <w:tc>
          <w:tcPr>
            <w:tcW w:w="469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预期目标</w:t>
            </w:r>
          </w:p>
        </w:tc>
        <w:tc>
          <w:tcPr>
            <w:tcW w:w="419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469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全面落实《国家职业教育改革实施方案》，秉承“立德树人、经世致用”办学理念，按照“5321”建设思路，主动融入国家和区域发展战略，大力推进“六项改革行动”，打造“六张名片”，固化“六类成果”，重点建设护理(老年健康服务)专业群，并力争护理等专业试办本科，构建聚焦健康产业的特色专业体系和服务体系，建成健康产业人才培养培训高地和技术技能创新中心，全面提升学院的技术创新能力、社会服务能力和国际交流合作能力，为经济社会发展贡献岳阳智慧，为地方职业教育发展提供中国范式。　　</w:t>
            </w:r>
          </w:p>
        </w:tc>
        <w:tc>
          <w:tcPr>
            <w:tcW w:w="419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学院积极融入“健康中国2030”“中国制造2025”和湖南省“三高四新”战略，聚焦健康农业、健康制造、健康服务三大产业领域，构建了老年健康服务、妇幼健康服务、健康装备制造与维护、健康农业服务、健康产品流通服务、健康信息服务等6大专业群，彰显了“健康+”的专业办学特色。以党建为引领，推进“家国情怀、工匠精神、精湛技艺、求实创新、健康体魄、追求卓越”六大素养体系建设；以“金专”“金课”“金师”“金地”“金教材”为</w:t>
            </w:r>
            <w:r>
              <w:rPr>
                <w:rFonts w:hint="default" w:ascii="Times New Roman" w:hAnsi="Times New Roman" w:eastAsia="仿宋_GB2312" w:cs="Times New Roman"/>
                <w:color w:val="000000"/>
                <w:sz w:val="20"/>
                <w:szCs w:val="20"/>
                <w:highlight w:val="none"/>
                <w:lang w:val="en-US" w:eastAsia="zh-CN"/>
              </w:rPr>
              <w:t>指导</w:t>
            </w:r>
            <w:r>
              <w:rPr>
                <w:rFonts w:hint="default" w:ascii="Times New Roman" w:hAnsi="Times New Roman" w:eastAsia="仿宋_GB2312" w:cs="Times New Roman"/>
                <w:color w:val="000000"/>
                <w:sz w:val="20"/>
                <w:szCs w:val="20"/>
                <w:highlight w:val="none"/>
              </w:rPr>
              <w:t>，深入推进“三教改革”，打造“四有”课堂；探索现场工程师培养试点，不断夯实“双主体协同、双导师育人”的人才培养模式。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绩</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一级指标</w:t>
            </w:r>
          </w:p>
        </w:tc>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二级指标</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三级指标</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年度指标值</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实际完成值</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分值</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得分</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偏差原因分析</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产出指标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(50分)</w:t>
            </w:r>
          </w:p>
        </w:tc>
        <w:tc>
          <w:tcPr>
            <w:tcW w:w="10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数量指标</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完成双高任务</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1.实现国家“双高”的11个方面27个目标；</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2.完成省“双高”的9个方面26个任务。</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27个目标及26个任务</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5</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5</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创建全国基层党建团建典型案例</w:t>
            </w:r>
          </w:p>
        </w:tc>
        <w:tc>
          <w:tcPr>
            <w:tcW w:w="13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1个</w:t>
            </w:r>
          </w:p>
        </w:tc>
        <w:tc>
          <w:tcPr>
            <w:tcW w:w="18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eastAsia="zh"/>
              </w:rPr>
              <w:t>1个</w:t>
            </w:r>
          </w:p>
        </w:tc>
        <w:tc>
          <w:tcPr>
            <w:tcW w:w="6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eastAsia="zh"/>
              </w:rPr>
              <w:t>2.5</w:t>
            </w:r>
          </w:p>
        </w:tc>
        <w:tc>
          <w:tcPr>
            <w:tcW w:w="7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eastAsia="zh"/>
              </w:rPr>
              <w:t>2.5</w:t>
            </w:r>
          </w:p>
        </w:tc>
        <w:tc>
          <w:tcPr>
            <w:tcW w:w="9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仿宋_GB2312" w:cs="Times New Roman"/>
                <w:color w:val="000000"/>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学生参加国家级技能大赛获奖</w:t>
            </w:r>
          </w:p>
        </w:tc>
        <w:tc>
          <w:tcPr>
            <w:tcW w:w="13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3项</w:t>
            </w:r>
          </w:p>
        </w:tc>
        <w:tc>
          <w:tcPr>
            <w:tcW w:w="18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eastAsia="zh"/>
              </w:rPr>
              <w:t>5项</w:t>
            </w:r>
          </w:p>
        </w:tc>
        <w:tc>
          <w:tcPr>
            <w:tcW w:w="6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eastAsia="zh"/>
              </w:rPr>
              <w:t>2.5</w:t>
            </w:r>
          </w:p>
        </w:tc>
        <w:tc>
          <w:tcPr>
            <w:tcW w:w="7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eastAsia="zh"/>
              </w:rPr>
              <w:t>2.5</w:t>
            </w:r>
          </w:p>
        </w:tc>
        <w:tc>
          <w:tcPr>
            <w:tcW w:w="9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default" w:ascii="Times New Roman" w:hAnsi="Times New Roman" w:eastAsia="仿宋_GB2312" w:cs="Times New Roman"/>
                <w:color w:val="000000"/>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教师职业能力比赛省赛获奖</w:t>
            </w:r>
          </w:p>
        </w:tc>
        <w:tc>
          <w:tcPr>
            <w:tcW w:w="13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5项</w:t>
            </w:r>
          </w:p>
        </w:tc>
        <w:tc>
          <w:tcPr>
            <w:tcW w:w="18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eastAsia="zh"/>
              </w:rPr>
              <w:t>6项</w:t>
            </w:r>
          </w:p>
        </w:tc>
        <w:tc>
          <w:tcPr>
            <w:tcW w:w="6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eastAsia="zh"/>
              </w:rPr>
              <w:t>2.5</w:t>
            </w:r>
          </w:p>
        </w:tc>
        <w:tc>
          <w:tcPr>
            <w:tcW w:w="7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eastAsia="zh"/>
              </w:rPr>
              <w:t>2.5</w:t>
            </w:r>
          </w:p>
        </w:tc>
        <w:tc>
          <w:tcPr>
            <w:tcW w:w="9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default" w:ascii="Times New Roman" w:hAnsi="Times New Roman" w:eastAsia="仿宋_GB2312" w:cs="Times New Roman"/>
                <w:color w:val="000000"/>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引进和培育博士学位教师</w:t>
            </w:r>
          </w:p>
        </w:tc>
        <w:tc>
          <w:tcPr>
            <w:tcW w:w="13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5名</w:t>
            </w:r>
          </w:p>
        </w:tc>
        <w:tc>
          <w:tcPr>
            <w:tcW w:w="18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eastAsia="zh"/>
              </w:rPr>
              <w:t>5名</w:t>
            </w:r>
          </w:p>
        </w:tc>
        <w:tc>
          <w:tcPr>
            <w:tcW w:w="6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eastAsia="zh"/>
              </w:rPr>
              <w:t>2.5</w:t>
            </w:r>
          </w:p>
        </w:tc>
        <w:tc>
          <w:tcPr>
            <w:tcW w:w="7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eastAsia="zh"/>
              </w:rPr>
              <w:t>2.5</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组织教师境外培训</w:t>
            </w:r>
          </w:p>
        </w:tc>
        <w:tc>
          <w:tcPr>
            <w:tcW w:w="13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20人次</w:t>
            </w:r>
          </w:p>
        </w:tc>
        <w:tc>
          <w:tcPr>
            <w:tcW w:w="18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eastAsia="zh"/>
              </w:rPr>
              <w:t>15人次</w:t>
            </w:r>
          </w:p>
        </w:tc>
        <w:tc>
          <w:tcPr>
            <w:tcW w:w="6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eastAsia="zh"/>
              </w:rPr>
              <w:t>2.5</w:t>
            </w:r>
          </w:p>
        </w:tc>
        <w:tc>
          <w:tcPr>
            <w:tcW w:w="7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eastAsia="zh"/>
              </w:rPr>
              <w:t>2.5</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引进和培育高层次人才</w:t>
            </w:r>
          </w:p>
        </w:tc>
        <w:tc>
          <w:tcPr>
            <w:tcW w:w="13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5名</w:t>
            </w:r>
          </w:p>
        </w:tc>
        <w:tc>
          <w:tcPr>
            <w:tcW w:w="18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eastAsia="zh"/>
              </w:rPr>
              <w:t>16名</w:t>
            </w:r>
          </w:p>
        </w:tc>
        <w:tc>
          <w:tcPr>
            <w:tcW w:w="6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eastAsia="zh"/>
              </w:rPr>
              <w:t>2.5</w:t>
            </w:r>
          </w:p>
        </w:tc>
        <w:tc>
          <w:tcPr>
            <w:tcW w:w="7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eastAsia="zh"/>
              </w:rPr>
              <w:t>2.5</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国家奖助学金资助人数</w:t>
            </w:r>
          </w:p>
        </w:tc>
        <w:tc>
          <w:tcPr>
            <w:tcW w:w="13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7764人次</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7764人次</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2</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2</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强化社会服务</w:t>
            </w:r>
          </w:p>
        </w:tc>
        <w:tc>
          <w:tcPr>
            <w:tcW w:w="1311"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组建教学创新团队，完善“平台+模块”课程体系</w:t>
            </w:r>
            <w:r>
              <w:rPr>
                <w:rFonts w:hint="default" w:ascii="Times New Roman" w:hAnsi="Times New Roman" w:eastAsia="仿宋_GB2312" w:cs="Times New Roman"/>
                <w:color w:val="000000"/>
                <w:sz w:val="20"/>
                <w:szCs w:val="20"/>
                <w:highlight w:val="none"/>
                <w:lang w:val="en-US" w:eastAsia="zh-CN"/>
              </w:rPr>
              <w:t>，10个；建设国家级精品在线开放课程，3门；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2.完成湖南省乡村振兴致富带头人培训2000人、大学生创业培训1000人。</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1.完成15个</w:t>
            </w:r>
            <w:r>
              <w:rPr>
                <w:rFonts w:hint="default" w:ascii="Times New Roman" w:hAnsi="Times New Roman" w:eastAsia="仿宋_GB2312" w:cs="Times New Roman"/>
                <w:color w:val="000000"/>
                <w:sz w:val="20"/>
                <w:szCs w:val="20"/>
                <w:highlight w:val="none"/>
                <w:lang w:val="en-US" w:eastAsia="zh-CN"/>
              </w:rPr>
              <w:t>教学创新团队完善课程体系建设</w:t>
            </w:r>
            <w:r>
              <w:rPr>
                <w:rFonts w:hint="default" w:ascii="Times New Roman" w:hAnsi="Times New Roman" w:eastAsia="仿宋_GB2312" w:cs="Times New Roman"/>
                <w:color w:val="000000"/>
                <w:sz w:val="20"/>
                <w:szCs w:val="20"/>
                <w:highlight w:val="none"/>
                <w:lang w:val="en-US" w:eastAsia="zh-CN"/>
              </w:rPr>
              <w:t>；</w:t>
            </w:r>
            <w:r>
              <w:rPr>
                <w:rFonts w:hint="default" w:ascii="Times New Roman" w:hAnsi="Times New Roman" w:eastAsia="仿宋_GB2312" w:cs="Times New Roman"/>
                <w:color w:val="000000"/>
                <w:sz w:val="20"/>
                <w:szCs w:val="20"/>
                <w:highlight w:val="none"/>
                <w:lang w:val="en-US" w:eastAsia="zh-CN"/>
              </w:rPr>
              <w:t>建设国家级精品在线开放课程</w:t>
            </w:r>
            <w:r>
              <w:rPr>
                <w:rFonts w:hint="default" w:ascii="Times New Roman" w:hAnsi="Times New Roman" w:eastAsia="仿宋_GB2312" w:cs="Times New Roman"/>
                <w:color w:val="000000"/>
                <w:sz w:val="20"/>
                <w:szCs w:val="20"/>
                <w:highlight w:val="none"/>
                <w:lang w:eastAsia="zh"/>
              </w:rPr>
              <w:t>0门（已建成2门）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lang w:val="en-US"/>
              </w:rPr>
            </w:pPr>
            <w:r>
              <w:rPr>
                <w:rFonts w:hint="default" w:ascii="Times New Roman" w:hAnsi="Times New Roman" w:eastAsia="仿宋_GB2312" w:cs="Times New Roman"/>
                <w:color w:val="000000"/>
                <w:sz w:val="20"/>
                <w:szCs w:val="20"/>
                <w:highlight w:val="none"/>
                <w:lang w:val="en-US" w:eastAsia="zh-CN"/>
              </w:rPr>
              <w:t>2.完成湖南省乡村振兴致富带头人培训1472人、大学生创业培训510人，非农在编人员培训50人</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2</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lang w:val="en-US" w:eastAsia="zh-CN"/>
              </w:rPr>
            </w:pPr>
            <w:r>
              <w:rPr>
                <w:rFonts w:hint="default" w:ascii="Times New Roman" w:hAnsi="Times New Roman" w:cs="Times New Roman"/>
              </w:rPr>
              <w:t>　</w:t>
            </w:r>
            <w:r>
              <w:rPr>
                <w:rFonts w:hint="default" w:ascii="Times New Roman" w:hAnsi="Times New Roman" w:eastAsia="仿宋_GB2312" w:cs="Times New Roman"/>
                <w:color w:val="000000"/>
                <w:sz w:val="20"/>
                <w:szCs w:val="20"/>
                <w:highlight w:val="none"/>
                <w:lang w:val="en-US" w:eastAsia="zh"/>
              </w:rPr>
              <w:t>根据教育部有关文件要求，2023年推荐了《液压与气压传动技术》《医用语文》等6门参与国家精品在线开放课程评选</w:t>
            </w:r>
            <w:r>
              <w:rPr>
                <w:rFonts w:hint="default" w:ascii="Times New Roman" w:hAnsi="Times New Roman" w:eastAsia="仿宋_GB2312" w:cs="Times New Roman"/>
                <w:color w:val="000000"/>
                <w:sz w:val="20"/>
                <w:szCs w:val="20"/>
                <w:highlight w:val="none"/>
                <w:lang w:val="en-US" w:eastAsia="zh-CN"/>
              </w:rPr>
              <w:t>；乡村振兴培训的整体指标减少。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质量指标</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推进升本工作，</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推进双高建设</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以立德树人为根本，提升教学内涵质量，完善软硬件建设，为湖南职业教育发展树立岳阳标杆。</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r>
              <w:rPr>
                <w:rFonts w:hint="default" w:ascii="Times New Roman" w:hAnsi="Times New Roman" w:eastAsia="仿宋_GB2312" w:cs="Times New Roman"/>
                <w:color w:val="000000"/>
                <w:sz w:val="20"/>
                <w:szCs w:val="20"/>
                <w:highlight w:val="none"/>
                <w:lang w:val="en-US" w:eastAsia="zh-CN"/>
              </w:rPr>
              <w:t>圆满</w:t>
            </w:r>
            <w:r>
              <w:rPr>
                <w:rFonts w:hint="default" w:ascii="Times New Roman" w:hAnsi="Times New Roman" w:eastAsia="仿宋_GB2312" w:cs="Times New Roman"/>
                <w:color w:val="000000"/>
                <w:sz w:val="20"/>
                <w:szCs w:val="20"/>
                <w:highlight w:val="none"/>
              </w:rPr>
              <w:t>完成了“升本”工作和“双高”收官年度工作的阶段性任务</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5</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5</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完成生产性实训基地的建设</w:t>
            </w:r>
          </w:p>
        </w:tc>
        <w:tc>
          <w:tcPr>
            <w:tcW w:w="13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实训室新建和改建任务</w:t>
            </w:r>
          </w:p>
        </w:tc>
        <w:tc>
          <w:tcPr>
            <w:tcW w:w="18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完成实训室新建和改建任务</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助学金</w:t>
            </w:r>
            <w:r>
              <w:rPr>
                <w:rFonts w:hint="default" w:ascii="Times New Roman" w:hAnsi="Times New Roman" w:eastAsia="仿宋_GB2312" w:cs="Times New Roman"/>
                <w:color w:val="000000"/>
                <w:sz w:val="20"/>
                <w:szCs w:val="20"/>
                <w:highlight w:val="none"/>
                <w:lang w:val="en-US" w:eastAsia="en-US"/>
              </w:rPr>
              <w:t>实施分档资助</w:t>
            </w:r>
          </w:p>
        </w:tc>
        <w:tc>
          <w:tcPr>
            <w:tcW w:w="13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en-US"/>
              </w:rPr>
              <w:t>分三档实施</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cs="Times New Roman"/>
                <w:snapToGrid w:val="0"/>
                <w:color w:val="000000"/>
                <w:spacing w:val="-2"/>
                <w:kern w:val="0"/>
                <w:sz w:val="18"/>
                <w:szCs w:val="18"/>
                <w:lang w:val="en-US" w:eastAsia="zh-CN" w:bidi="ar-SA"/>
              </w:rPr>
            </w:pPr>
            <w:r>
              <w:rPr>
                <w:rFonts w:hint="default" w:ascii="Times New Roman" w:hAnsi="Times New Roman" w:eastAsia="仿宋_GB2312" w:cs="Times New Roman"/>
                <w:color w:val="000000"/>
                <w:sz w:val="20"/>
                <w:szCs w:val="20"/>
                <w:highlight w:val="none"/>
                <w:lang w:val="en-US" w:eastAsia="en-US"/>
              </w:rPr>
              <w:t>分三档实施</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2</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2</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时效指标</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按时</w:t>
            </w:r>
            <w:r>
              <w:rPr>
                <w:rFonts w:hint="default" w:ascii="Times New Roman" w:hAnsi="Times New Roman" w:eastAsia="仿宋_GB2312" w:cs="Times New Roman"/>
                <w:color w:val="000000"/>
                <w:sz w:val="20"/>
                <w:szCs w:val="20"/>
                <w:highlight w:val="none"/>
              </w:rPr>
              <w:t>完成年度各项目标任务</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r>
              <w:rPr>
                <w:rFonts w:hint="default" w:ascii="Times New Roman" w:hAnsi="Times New Roman" w:eastAsia="仿宋_GB2312" w:cs="Times New Roman"/>
                <w:color w:val="000000"/>
                <w:sz w:val="20"/>
                <w:szCs w:val="20"/>
                <w:highlight w:val="none"/>
                <w:lang w:val="en-US" w:eastAsia="zh-CN"/>
              </w:rPr>
              <w:t>按时</w:t>
            </w:r>
            <w:r>
              <w:rPr>
                <w:rFonts w:hint="default" w:ascii="Times New Roman" w:hAnsi="Times New Roman" w:eastAsia="仿宋_GB2312" w:cs="Times New Roman"/>
                <w:color w:val="000000"/>
                <w:sz w:val="20"/>
                <w:szCs w:val="20"/>
                <w:highlight w:val="none"/>
              </w:rPr>
              <w:t>完成年度各项目标任务</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r>
              <w:rPr>
                <w:rFonts w:hint="default" w:ascii="Times New Roman" w:hAnsi="Times New Roman" w:eastAsia="仿宋_GB2312" w:cs="Times New Roman"/>
                <w:color w:val="000000"/>
                <w:sz w:val="20"/>
                <w:szCs w:val="20"/>
                <w:highlight w:val="none"/>
                <w:lang w:val="en-US" w:eastAsia="zh-CN"/>
              </w:rPr>
              <w:t>按时</w:t>
            </w:r>
            <w:r>
              <w:rPr>
                <w:rFonts w:hint="default" w:ascii="Times New Roman" w:hAnsi="Times New Roman" w:eastAsia="仿宋_GB2312" w:cs="Times New Roman"/>
                <w:color w:val="000000"/>
                <w:sz w:val="20"/>
                <w:szCs w:val="20"/>
                <w:highlight w:val="none"/>
              </w:rPr>
              <w:t>完成年度各项目标任务</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5</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5</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成本指标</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支出控制在预算内</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控制在预算内</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控制在预算内</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10</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10</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效益指标</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（30分）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10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经济效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益指标</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无</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无</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无</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社会效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益指标</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做实社会培训，</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做特社区服务</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新建社区学院，开设“专家在线服务窗口”，为社区居民提供“健康咨询、心理辅导、农业种植指导、家畜喂养指导”等线上指导服务，引进“学分银行”并开发手机客户端，使社区居民通过手机等移动设备进行学习。</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1.</w:t>
            </w:r>
            <w:r>
              <w:rPr>
                <w:rFonts w:hint="default" w:ascii="Times New Roman" w:hAnsi="Times New Roman" w:eastAsia="仿宋_GB2312" w:cs="Times New Roman"/>
                <w:color w:val="000000"/>
                <w:sz w:val="20"/>
                <w:szCs w:val="20"/>
                <w:highlight w:val="none"/>
                <w:lang w:val="en-US" w:eastAsia="zh-CN"/>
              </w:rPr>
              <w:t>新建2个社区学院，同时</w:t>
            </w:r>
            <w:r>
              <w:rPr>
                <w:rFonts w:hint="default" w:ascii="Times New Roman" w:hAnsi="Times New Roman" w:eastAsia="仿宋_GB2312" w:cs="Times New Roman"/>
                <w:color w:val="000000"/>
                <w:sz w:val="20"/>
                <w:szCs w:val="20"/>
                <w:highlight w:val="none"/>
              </w:rPr>
              <w:t>开设“专家在线服务</w:t>
            </w:r>
            <w:r>
              <w:rPr>
                <w:rFonts w:hint="default" w:ascii="Times New Roman" w:hAnsi="Times New Roman" w:eastAsia="仿宋_GB2312" w:cs="Times New Roman"/>
                <w:color w:val="000000"/>
                <w:sz w:val="20"/>
                <w:szCs w:val="20"/>
                <w:highlight w:val="none"/>
                <w:lang w:val="en-US" w:eastAsia="zh-CN"/>
              </w:rPr>
              <w:t>窗口</w:t>
            </w:r>
            <w:r>
              <w:rPr>
                <w:rFonts w:hint="default" w:ascii="Times New Roman" w:hAnsi="Times New Roman" w:eastAsia="仿宋_GB2312" w:cs="Times New Roman"/>
                <w:color w:val="000000"/>
                <w:sz w:val="20"/>
                <w:szCs w:val="20"/>
                <w:highlight w:val="none"/>
              </w:rPr>
              <w:t>”1个，为社区居民提供“健康咨询、心理辅导、农业种植指导、家畜喂养指导”等线上指导服务15次；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2.引进“学分银行”并开发手机客户端1个，使社区居民通过手机等移动设备进行学习，现注册人数为19474人，浏览次数达183681次</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10</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10</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生态效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益指标</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无</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无</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可持续影响指标</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提供人才支撑，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提供智力保障</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完善就业指导课程体系，拓展各类就业渠道，实现供需对接、人岗匹配。</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1、完善了各专业人才培养方案，新编了职业生涯规划、就业指导、创业基础三本教材，更新课程教学大纲，为学生的求职夯实了内涵；2、举办了三场大型人才招聘会，4月份举办的医卫类招聘会，5月底举办了针对2023届毕业生的专场招聘会，10月24日还举办了一场非医卫类的大型招聘会；3、针对求职困难的学生，建立就业帮扶“一对一”制度，指定一名教师对应一名学生，实现帮扶到位，不留就业死角；4、建有校园创业孵化基地，新增入驻项目10项，组织学生参加各级大学生创新创业大赛，目前取得省级比赛一等奖1项，国家级一等奖1项，提升了同学们的创新创业意识，在学生中起到了引领作用。</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10</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10</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1、建成大数据中心、完成二级等保复评</w:t>
            </w:r>
          </w:p>
        </w:tc>
        <w:tc>
          <w:tcPr>
            <w:tcW w:w="13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实现校园管理智能化、数字化、现代化</w:t>
            </w:r>
          </w:p>
        </w:tc>
        <w:tc>
          <w:tcPr>
            <w:tcW w:w="18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实现校园管理智能化、数字化、现代化</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10</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10</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满意度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指标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（10分）</w:t>
            </w:r>
          </w:p>
        </w:tc>
        <w:tc>
          <w:tcPr>
            <w:tcW w:w="10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服务对象满意度指标</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在校生满意度</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98%</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98%</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4</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4</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毕业生满意度</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96%</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96.38%</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教职工满意度</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99%</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99.3%</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1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总分</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100</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98</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bl>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方正小标宋简体" w:cs="Times New Roman"/>
          <w:color w:val="000000"/>
          <w:sz w:val="36"/>
          <w:szCs w:val="36"/>
          <w:lang w:val="en-US" w:eastAsia="zh-CN"/>
        </w:rPr>
      </w:pPr>
      <w:r>
        <w:rPr>
          <w:rFonts w:hint="default" w:ascii="Times New Roman" w:hAnsi="Times New Roman" w:eastAsia="仿宋_GB2312" w:cs="Times New Roman"/>
          <w:sz w:val="22"/>
          <w:szCs w:val="22"/>
          <w:highlight w:val="none"/>
        </w:rPr>
        <w:t>填表人：</w:t>
      </w:r>
      <w:r>
        <w:rPr>
          <w:rFonts w:hint="default" w:ascii="Times New Roman" w:hAnsi="Times New Roman" w:eastAsia="仿宋_GB2312" w:cs="Times New Roman"/>
          <w:sz w:val="22"/>
          <w:szCs w:val="22"/>
          <w:highlight w:val="none"/>
          <w:lang w:val="en-US" w:eastAsia="zh-CN"/>
        </w:rPr>
        <w:t>李倩敏</w:t>
      </w:r>
      <w:r>
        <w:rPr>
          <w:rFonts w:hint="default" w:ascii="Times New Roman" w:hAnsi="Times New Roman" w:eastAsia="仿宋_GB2312" w:cs="Times New Roman"/>
          <w:sz w:val="22"/>
          <w:szCs w:val="22"/>
          <w:highlight w:val="none"/>
        </w:rPr>
        <w:t xml:space="preserve">    填报日期：</w:t>
      </w:r>
      <w:r>
        <w:rPr>
          <w:rFonts w:hint="default" w:ascii="Times New Roman" w:hAnsi="Times New Roman" w:eastAsia="仿宋_GB2312" w:cs="Times New Roman"/>
          <w:sz w:val="22"/>
          <w:szCs w:val="22"/>
          <w:highlight w:val="none"/>
          <w:lang w:val="en-US" w:eastAsia="zh-CN"/>
        </w:rPr>
        <w:t>2024.6.26</w:t>
      </w:r>
      <w:r>
        <w:rPr>
          <w:rFonts w:hint="default" w:ascii="Times New Roman" w:hAnsi="Times New Roman" w:eastAsia="仿宋_GB2312" w:cs="Times New Roman"/>
          <w:sz w:val="22"/>
          <w:szCs w:val="22"/>
          <w:highlight w:val="none"/>
        </w:rPr>
        <w:t xml:space="preserve">    联系电话：</w:t>
      </w:r>
      <w:r>
        <w:rPr>
          <w:rFonts w:hint="default" w:ascii="Times New Roman" w:hAnsi="Times New Roman" w:eastAsia="仿宋_GB2312" w:cs="Times New Roman"/>
          <w:sz w:val="22"/>
          <w:szCs w:val="22"/>
          <w:highlight w:val="none"/>
          <w:lang w:val="en-US" w:eastAsia="zh-CN"/>
        </w:rPr>
        <w:t xml:space="preserve">18890345258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方正小标宋简体" w:cs="Times New Roman"/>
          <w:color w:val="000000"/>
          <w:sz w:val="36"/>
          <w:szCs w:val="36"/>
          <w:lang w:val="en-US" w:eastAsia="zh-CN"/>
        </w:rPr>
        <w:t xml:space="preserve">      </w:t>
      </w:r>
    </w:p>
    <w:p>
      <w:p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color w:val="000000"/>
          <w:sz w:val="36"/>
          <w:szCs w:val="36"/>
          <w:highlight w:val="none"/>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36"/>
          <w:szCs w:val="36"/>
          <w:highlight w:val="none"/>
        </w:rPr>
      </w:pPr>
      <w:r>
        <w:rPr>
          <w:rFonts w:hint="default" w:ascii="Times New Roman" w:hAnsi="Times New Roman" w:eastAsia="方正小标宋简体" w:cs="Times New Roman"/>
          <w:color w:val="000000"/>
          <w:sz w:val="36"/>
          <w:szCs w:val="36"/>
          <w:highlight w:val="none"/>
        </w:rPr>
        <w:t>202</w:t>
      </w:r>
      <w:r>
        <w:rPr>
          <w:rFonts w:hint="default" w:ascii="Times New Roman" w:hAnsi="Times New Roman" w:eastAsia="方正小标宋简体" w:cs="Times New Roman"/>
          <w:color w:val="000000"/>
          <w:sz w:val="36"/>
          <w:szCs w:val="36"/>
          <w:highlight w:val="none"/>
          <w:lang w:val="en-US" w:eastAsia="zh-CN"/>
        </w:rPr>
        <w:t>3</w:t>
      </w:r>
      <w:r>
        <w:rPr>
          <w:rFonts w:hint="default" w:ascii="Times New Roman" w:hAnsi="Times New Roman" w:eastAsia="方正小标宋简体" w:cs="Times New Roman"/>
          <w:color w:val="000000"/>
          <w:sz w:val="36"/>
          <w:szCs w:val="36"/>
          <w:highlight w:val="none"/>
        </w:rPr>
        <w:t>年度项目支出绩效自评表</w:t>
      </w:r>
    </w:p>
    <w:tbl>
      <w:tblPr>
        <w:tblStyle w:val="6"/>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46"/>
        <w:gridCol w:w="1025"/>
        <w:gridCol w:w="1950"/>
        <w:gridCol w:w="850"/>
        <w:gridCol w:w="1167"/>
        <w:gridCol w:w="666"/>
        <w:gridCol w:w="717"/>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项目支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出名称</w:t>
            </w:r>
          </w:p>
        </w:tc>
        <w:tc>
          <w:tcPr>
            <w:tcW w:w="8771"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现代物流产业发展研究院202</w:t>
            </w:r>
            <w:r>
              <w:rPr>
                <w:rFonts w:hint="default" w:ascii="Times New Roman" w:hAnsi="Times New Roman" w:eastAsia="仿宋_GB2312" w:cs="Times New Roman"/>
                <w:color w:val="000000"/>
                <w:sz w:val="20"/>
                <w:szCs w:val="20"/>
                <w:highlight w:val="none"/>
                <w:lang w:val="en-US" w:eastAsia="zh-CN"/>
              </w:rPr>
              <w:t>3</w:t>
            </w:r>
            <w:r>
              <w:rPr>
                <w:rFonts w:hint="default" w:ascii="Times New Roman" w:hAnsi="Times New Roman" w:eastAsia="仿宋_GB2312" w:cs="Times New Roman"/>
                <w:color w:val="000000"/>
                <w:sz w:val="20"/>
                <w:szCs w:val="20"/>
                <w:highlight w:val="none"/>
              </w:rPr>
              <w:t>年财政专项资金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主管部门</w:t>
            </w:r>
          </w:p>
        </w:tc>
        <w:tc>
          <w:tcPr>
            <w:tcW w:w="477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rPr>
              <w:t>　</w:t>
            </w:r>
            <w:r>
              <w:rPr>
                <w:rFonts w:hint="default" w:ascii="Times New Roman" w:hAnsi="Times New Roman" w:eastAsia="仿宋_GB2312" w:cs="Times New Roman"/>
                <w:color w:val="000000"/>
                <w:sz w:val="20"/>
                <w:szCs w:val="20"/>
                <w:highlight w:val="none"/>
                <w:lang w:val="en-US" w:eastAsia="zh-CN"/>
              </w:rPr>
              <w:t>岳阳市物流发展服务中心</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实施单位</w:t>
            </w:r>
          </w:p>
        </w:tc>
        <w:tc>
          <w:tcPr>
            <w:tcW w:w="28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rPr>
              <w:t>　</w:t>
            </w:r>
            <w:r>
              <w:rPr>
                <w:rFonts w:hint="default" w:ascii="Times New Roman" w:hAnsi="Times New Roman" w:eastAsia="仿宋_GB2312" w:cs="Times New Roman"/>
                <w:color w:val="000000"/>
                <w:sz w:val="20"/>
                <w:szCs w:val="20"/>
                <w:highlight w:val="none"/>
                <w:lang w:val="en-US" w:eastAsia="zh-CN"/>
              </w:rPr>
              <w:t>岳阳职业技术学院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项目资金</w:t>
            </w:r>
            <w:r>
              <w:rPr>
                <w:rFonts w:hint="default" w:ascii="Times New Roman" w:hAnsi="Times New Roman" w:eastAsia="仿宋_GB2312" w:cs="Times New Roman"/>
                <w:color w:val="000000"/>
                <w:sz w:val="20"/>
                <w:szCs w:val="20"/>
                <w:highlight w:val="none"/>
              </w:rPr>
              <w:br w:type="textWrapping"/>
            </w:r>
            <w:r>
              <w:rPr>
                <w:rFonts w:hint="default" w:ascii="Times New Roman" w:hAnsi="Times New Roman" w:eastAsia="仿宋_GB2312" w:cs="Times New Roman"/>
                <w:color w:val="000000"/>
                <w:sz w:val="20"/>
                <w:szCs w:val="20"/>
                <w:highlight w:val="none"/>
              </w:rPr>
              <w:t>（万元）</w:t>
            </w: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年初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预算数</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全年</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预算数</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全年</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执行数</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分值</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执行率</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年度资金总额　</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50万</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50万</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50万</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rPr>
              <w:t>10</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100%</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其中：当年财政拨款　</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50万</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50万</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50万</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bookmarkStart w:id="0" w:name="_GoBack"/>
            <w:bookmarkEnd w:id="0"/>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600" w:firstLineChars="30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上年结转资金　</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0</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0</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0</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600" w:firstLineChars="30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其他资金</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0</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0</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0</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年度总体目标</w:t>
            </w:r>
          </w:p>
        </w:tc>
        <w:tc>
          <w:tcPr>
            <w:tcW w:w="477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预期目标</w:t>
            </w:r>
          </w:p>
        </w:tc>
        <w:tc>
          <w:tcPr>
            <w:tcW w:w="40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477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完成市物流中心（包括</w:t>
            </w:r>
            <w:r>
              <w:rPr>
                <w:rFonts w:hint="default" w:ascii="Times New Roman" w:hAnsi="Times New Roman" w:eastAsia="仿宋_GB2312" w:cs="Times New Roman"/>
                <w:color w:val="000000"/>
                <w:sz w:val="20"/>
                <w:szCs w:val="20"/>
                <w:highlight w:val="none"/>
                <w:lang w:val="en-US" w:eastAsia="zh-CN"/>
              </w:rPr>
              <w:t>市人大、市政府、市政协</w:t>
            </w:r>
            <w:r>
              <w:rPr>
                <w:rFonts w:hint="default" w:ascii="Times New Roman" w:hAnsi="Times New Roman" w:eastAsia="仿宋_GB2312" w:cs="Times New Roman"/>
                <w:color w:val="000000"/>
                <w:sz w:val="20"/>
                <w:szCs w:val="20"/>
                <w:highlight w:val="none"/>
                <w:lang w:val="en-US" w:eastAsia="zh-CN"/>
              </w:rPr>
              <w:t>等</w:t>
            </w:r>
            <w:r>
              <w:rPr>
                <w:rFonts w:hint="default" w:ascii="Times New Roman" w:hAnsi="Times New Roman" w:eastAsia="仿宋_GB2312" w:cs="Times New Roman"/>
                <w:color w:val="000000"/>
                <w:sz w:val="20"/>
                <w:szCs w:val="20"/>
                <w:highlight w:val="none"/>
                <w:lang w:val="en-US" w:eastAsia="zh-CN"/>
              </w:rPr>
              <w:t>相关</w:t>
            </w:r>
            <w:r>
              <w:rPr>
                <w:rFonts w:hint="default" w:ascii="Times New Roman" w:hAnsi="Times New Roman" w:eastAsia="仿宋_GB2312" w:cs="Times New Roman"/>
                <w:color w:val="000000"/>
                <w:sz w:val="20"/>
                <w:szCs w:val="20"/>
                <w:highlight w:val="none"/>
                <w:lang w:val="en-US" w:eastAsia="zh-CN"/>
              </w:rPr>
              <w:t>职能</w:t>
            </w:r>
            <w:r>
              <w:rPr>
                <w:rFonts w:hint="default" w:ascii="Times New Roman" w:hAnsi="Times New Roman" w:eastAsia="仿宋_GB2312" w:cs="Times New Roman"/>
                <w:color w:val="000000"/>
                <w:sz w:val="20"/>
                <w:szCs w:val="20"/>
                <w:highlight w:val="none"/>
                <w:lang w:val="en-US" w:eastAsia="zh-CN"/>
              </w:rPr>
              <w:t>部门</w:t>
            </w:r>
            <w:r>
              <w:rPr>
                <w:rFonts w:hint="default" w:ascii="Times New Roman" w:hAnsi="Times New Roman" w:eastAsia="仿宋_GB2312" w:cs="Times New Roman"/>
                <w:color w:val="000000"/>
                <w:sz w:val="20"/>
                <w:szCs w:val="20"/>
                <w:highlight w:val="none"/>
                <w:lang w:val="en-US" w:eastAsia="zh-CN"/>
              </w:rPr>
              <w:t>）下达布置的物流相关任务，包括但不限于物流调研报告、物流研究报告、申报材料、汇报总结、技术标准解读等</w:t>
            </w:r>
            <w:r>
              <w:rPr>
                <w:rFonts w:hint="default" w:ascii="Times New Roman" w:hAnsi="Times New Roman" w:eastAsia="仿宋_GB2312" w:cs="Times New Roman"/>
                <w:color w:val="000000"/>
                <w:sz w:val="20"/>
                <w:szCs w:val="20"/>
                <w:highlight w:val="none"/>
                <w:lang w:val="en-US" w:eastAsia="zh-CN"/>
              </w:rPr>
              <w:t>，</w:t>
            </w:r>
            <w:r>
              <w:rPr>
                <w:rFonts w:hint="default" w:ascii="Times New Roman" w:hAnsi="Times New Roman" w:eastAsia="仿宋_GB2312" w:cs="Times New Roman"/>
                <w:color w:val="000000"/>
                <w:sz w:val="20"/>
                <w:szCs w:val="20"/>
                <w:highlight w:val="none"/>
              </w:rPr>
              <w:t>增强我市物流产业研究、标准制定与技术推广、人才培养以及服务经济发展的能力。</w:t>
            </w:r>
          </w:p>
        </w:tc>
        <w:tc>
          <w:tcPr>
            <w:tcW w:w="40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按时高质量完成了</w:t>
            </w:r>
            <w:r>
              <w:rPr>
                <w:rFonts w:hint="default" w:ascii="Times New Roman" w:hAnsi="Times New Roman" w:eastAsia="仿宋_GB2312" w:cs="Times New Roman"/>
                <w:color w:val="000000"/>
                <w:sz w:val="20"/>
                <w:szCs w:val="20"/>
                <w:highlight w:val="none"/>
                <w:lang w:val="en-US" w:eastAsia="zh-CN"/>
              </w:rPr>
              <w:t>市物流中心（包括</w:t>
            </w:r>
            <w:r>
              <w:rPr>
                <w:rFonts w:hint="default" w:ascii="Times New Roman" w:hAnsi="Times New Roman" w:eastAsia="仿宋_GB2312" w:cs="Times New Roman"/>
                <w:color w:val="000000"/>
                <w:sz w:val="20"/>
                <w:szCs w:val="20"/>
                <w:highlight w:val="none"/>
                <w:lang w:val="en-US" w:eastAsia="zh-CN"/>
              </w:rPr>
              <w:t>市人大、市政府、市政协</w:t>
            </w:r>
            <w:r>
              <w:rPr>
                <w:rFonts w:hint="default" w:ascii="Times New Roman" w:hAnsi="Times New Roman" w:eastAsia="仿宋_GB2312" w:cs="Times New Roman"/>
                <w:color w:val="000000"/>
                <w:sz w:val="20"/>
                <w:szCs w:val="20"/>
                <w:highlight w:val="none"/>
                <w:lang w:val="en-US" w:eastAsia="zh-CN"/>
              </w:rPr>
              <w:t>等</w:t>
            </w:r>
            <w:r>
              <w:rPr>
                <w:rFonts w:hint="default" w:ascii="Times New Roman" w:hAnsi="Times New Roman" w:eastAsia="仿宋_GB2312" w:cs="Times New Roman"/>
                <w:color w:val="000000"/>
                <w:sz w:val="20"/>
                <w:szCs w:val="20"/>
                <w:highlight w:val="none"/>
                <w:lang w:val="en-US" w:eastAsia="zh-CN"/>
              </w:rPr>
              <w:t>相关</w:t>
            </w:r>
            <w:r>
              <w:rPr>
                <w:rFonts w:hint="default" w:ascii="Times New Roman" w:hAnsi="Times New Roman" w:eastAsia="仿宋_GB2312" w:cs="Times New Roman"/>
                <w:color w:val="000000"/>
                <w:sz w:val="20"/>
                <w:szCs w:val="20"/>
                <w:highlight w:val="none"/>
                <w:lang w:val="en-US" w:eastAsia="zh-CN"/>
              </w:rPr>
              <w:t>职能</w:t>
            </w:r>
            <w:r>
              <w:rPr>
                <w:rFonts w:hint="default" w:ascii="Times New Roman" w:hAnsi="Times New Roman" w:eastAsia="仿宋_GB2312" w:cs="Times New Roman"/>
                <w:color w:val="000000"/>
                <w:sz w:val="20"/>
                <w:szCs w:val="20"/>
                <w:highlight w:val="none"/>
                <w:lang w:val="en-US" w:eastAsia="zh-CN"/>
              </w:rPr>
              <w:t>部门</w:t>
            </w:r>
            <w:r>
              <w:rPr>
                <w:rFonts w:hint="default" w:ascii="Times New Roman" w:hAnsi="Times New Roman" w:eastAsia="仿宋_GB2312" w:cs="Times New Roman"/>
                <w:color w:val="000000"/>
                <w:sz w:val="20"/>
                <w:szCs w:val="20"/>
                <w:highlight w:val="none"/>
                <w:lang w:val="en-US" w:eastAsia="zh-CN"/>
              </w:rPr>
              <w:t>）下达布置的物流相关任务</w:t>
            </w:r>
            <w:r>
              <w:rPr>
                <w:rFonts w:hint="default" w:ascii="Times New Roman" w:hAnsi="Times New Roman" w:eastAsia="仿宋_GB2312" w:cs="Times New Roman"/>
                <w:color w:val="000000"/>
                <w:sz w:val="20"/>
                <w:szCs w:val="20"/>
                <w:highlight w:val="none"/>
                <w:lang w:val="en-US" w:eastAsia="zh-CN"/>
              </w:rPr>
              <w:t>，主要参与物流行业调研、课题研究、政策制定、项目评审和开展讲座等。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绩</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标</w:t>
            </w: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一级指标</w:t>
            </w:r>
          </w:p>
        </w:tc>
        <w:tc>
          <w:tcPr>
            <w:tcW w:w="10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二级指标</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三级指标</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年度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指标值</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实际</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完成值</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分值</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得分</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产出指标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(50分)</w:t>
            </w:r>
          </w:p>
        </w:tc>
        <w:tc>
          <w:tcPr>
            <w:tcW w:w="10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数量指标</w:t>
            </w: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rPr>
              <w:t>组织物流相关专业人员申报物流相关课题</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7</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bidi="ar-SA"/>
              </w:rPr>
              <w:t>9</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rPr>
              <w:t>发表相关论文或研究报告</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b w:val="0"/>
                <w:bCs w:val="0"/>
                <w:sz w:val="20"/>
                <w:szCs w:val="20"/>
                <w:vertAlign w:val="baseline"/>
                <w:lang w:val="en-US" w:eastAsia="zh-CN"/>
              </w:rPr>
              <w:t>5篇</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b w:val="0"/>
                <w:bCs w:val="0"/>
                <w:sz w:val="20"/>
                <w:szCs w:val="20"/>
                <w:vertAlign w:val="baseline"/>
                <w:lang w:val="en-US" w:eastAsia="zh-CN"/>
              </w:rPr>
              <w:t>5篇</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rPr>
              <w:t>撰写物流调研报告</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b w:val="0"/>
                <w:bCs w:val="0"/>
                <w:sz w:val="20"/>
                <w:szCs w:val="20"/>
                <w:vertAlign w:val="baseline"/>
                <w:lang w:val="en-US" w:eastAsia="zh-CN"/>
              </w:rPr>
              <w:t>5篇</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b w:val="0"/>
                <w:bCs w:val="0"/>
                <w:sz w:val="20"/>
                <w:szCs w:val="20"/>
                <w:vertAlign w:val="baseline"/>
                <w:lang w:val="en-US" w:eastAsia="zh-CN"/>
              </w:rPr>
              <w:t>5篇</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rPr>
              <w:t>组织进行省内外调研学习活动</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b w:val="0"/>
                <w:bCs w:val="0"/>
                <w:sz w:val="20"/>
                <w:szCs w:val="20"/>
                <w:vertAlign w:val="baseline"/>
                <w:lang w:val="en-US" w:eastAsia="zh-CN"/>
              </w:rPr>
              <w:t>5次</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b w:val="0"/>
                <w:bCs w:val="0"/>
                <w:sz w:val="20"/>
                <w:szCs w:val="20"/>
                <w:vertAlign w:val="baseline"/>
                <w:lang w:val="en-US" w:eastAsia="zh-CN"/>
              </w:rPr>
              <w:t>5次</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rPr>
              <w:t>参与市级物流项目评审、物流政策和措施等文件修改任务</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b w:val="0"/>
                <w:bCs w:val="0"/>
                <w:sz w:val="20"/>
                <w:szCs w:val="20"/>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b w:val="0"/>
                <w:bCs w:val="0"/>
                <w:sz w:val="20"/>
                <w:szCs w:val="20"/>
                <w:vertAlign w:val="baseline"/>
                <w:lang w:val="en-US" w:eastAsia="zh-CN"/>
              </w:rPr>
              <w:t>5次</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b w:val="0"/>
                <w:bCs w:val="0"/>
                <w:sz w:val="20"/>
                <w:szCs w:val="20"/>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b w:val="0"/>
                <w:bCs w:val="0"/>
                <w:sz w:val="20"/>
                <w:szCs w:val="20"/>
                <w:vertAlign w:val="baseline"/>
                <w:lang w:val="en-US" w:eastAsia="zh-CN"/>
              </w:rPr>
              <w:t>5次</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rPr>
              <w:t>组织编撰《物流简报》</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b w:val="0"/>
                <w:bCs w:val="0"/>
                <w:sz w:val="20"/>
                <w:szCs w:val="20"/>
                <w:vertAlign w:val="baseline"/>
                <w:lang w:val="en-US" w:eastAsia="zh-CN"/>
              </w:rPr>
              <w:t>10期</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b w:val="0"/>
                <w:bCs w:val="0"/>
                <w:sz w:val="20"/>
                <w:szCs w:val="20"/>
                <w:vertAlign w:val="baseline"/>
                <w:lang w:val="en-US" w:eastAsia="zh-CN"/>
              </w:rPr>
              <w:t>10期</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lang w:val="en-US" w:eastAsia="zh-CN"/>
              </w:rPr>
              <w:t>主持</w:t>
            </w:r>
            <w:r>
              <w:rPr>
                <w:rFonts w:hint="default" w:ascii="Times New Roman" w:hAnsi="Times New Roman" w:eastAsia="仿宋_GB2312" w:cs="Times New Roman"/>
                <w:sz w:val="20"/>
                <w:szCs w:val="20"/>
              </w:rPr>
              <w:t>省市级物流学术会议、论坛或讲座</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b w:val="0"/>
                <w:bCs w:val="0"/>
                <w:sz w:val="20"/>
                <w:szCs w:val="20"/>
                <w:vertAlign w:val="baseline"/>
                <w:lang w:val="en-US" w:eastAsia="zh-CN"/>
              </w:rPr>
              <w:t>2次</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b w:val="0"/>
                <w:bCs w:val="0"/>
                <w:sz w:val="20"/>
                <w:szCs w:val="20"/>
                <w:vertAlign w:val="baseline"/>
                <w:lang w:val="en-US" w:eastAsia="zh-CN"/>
              </w:rPr>
              <w:t>1次</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1</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需加强与省市级物流专家及物流相关部门联络和协调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rPr>
              <w:t>组织物流专业学生和老师参加省级技能竞赛和教学能力竞赛</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lang w:val="en-US" w:eastAsia="zh-CN"/>
              </w:rPr>
              <w:t>获得三等奖项</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b w:val="0"/>
                <w:bCs w:val="0"/>
                <w:sz w:val="20"/>
                <w:szCs w:val="20"/>
                <w:vertAlign w:val="baseline"/>
                <w:lang w:val="en-US" w:eastAsia="zh-CN"/>
              </w:rPr>
              <w:t>2次</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b w:val="0"/>
                <w:bCs w:val="0"/>
                <w:sz w:val="20"/>
                <w:szCs w:val="20"/>
                <w:vertAlign w:val="baseline"/>
                <w:lang w:val="en-US" w:eastAsia="zh-CN"/>
              </w:rPr>
              <w:t>2次</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质量指标</w:t>
            </w: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lang w:val="en-US" w:eastAsia="zh-CN"/>
              </w:rPr>
              <w:t>省级以上论文</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b w:val="0"/>
                <w:bCs w:val="0"/>
                <w:sz w:val="20"/>
                <w:szCs w:val="20"/>
                <w:vertAlign w:val="baseline"/>
                <w:lang w:val="en-US" w:eastAsia="zh-CN"/>
              </w:rPr>
              <w:t>2篇</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b w:val="0"/>
                <w:bCs w:val="0"/>
                <w:sz w:val="20"/>
                <w:szCs w:val="20"/>
                <w:vertAlign w:val="baseline"/>
                <w:lang w:val="en-US" w:eastAsia="zh-CN"/>
              </w:rPr>
              <w:t>2篇</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lang w:val="en-US" w:eastAsia="zh-CN"/>
              </w:rPr>
              <w:t>市级以上课题</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b w:val="0"/>
                <w:bCs w:val="0"/>
                <w:sz w:val="20"/>
                <w:szCs w:val="20"/>
                <w:vertAlign w:val="baseline"/>
                <w:lang w:val="en-US" w:eastAsia="zh-CN"/>
              </w:rPr>
              <w:t>3项</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b w:val="0"/>
                <w:bCs w:val="0"/>
                <w:sz w:val="20"/>
                <w:szCs w:val="20"/>
                <w:vertAlign w:val="baseline"/>
                <w:lang w:val="en-US" w:eastAsia="zh-CN"/>
              </w:rPr>
              <w:t>3项</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lang w:val="en-US" w:eastAsia="zh-CN"/>
              </w:rPr>
              <w:t>研究报告通过率</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b w:val="0"/>
                <w:bCs w:val="0"/>
                <w:sz w:val="20"/>
                <w:szCs w:val="20"/>
                <w:vertAlign w:val="baseline"/>
                <w:lang w:val="en-US" w:eastAsia="zh-CN"/>
              </w:rPr>
              <w:t>100%</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b w:val="0"/>
                <w:bCs w:val="0"/>
                <w:sz w:val="20"/>
                <w:szCs w:val="20"/>
                <w:vertAlign w:val="baseline"/>
                <w:lang w:val="en-US" w:eastAsia="zh-CN"/>
              </w:rPr>
              <w:t>100%</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2</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lang w:val="en-US" w:eastAsia="zh-CN"/>
              </w:rPr>
              <w:t>调研报告满意度</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200" w:firstLineChars="100"/>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b w:val="0"/>
                <w:bCs w:val="0"/>
                <w:sz w:val="20"/>
                <w:szCs w:val="20"/>
                <w:vertAlign w:val="baseline"/>
                <w:lang w:val="en-US" w:eastAsia="zh-CN"/>
              </w:rPr>
              <w:t>≥</w:t>
            </w:r>
            <w:r>
              <w:rPr>
                <w:rFonts w:hint="default" w:ascii="Times New Roman" w:hAnsi="Times New Roman" w:eastAsia="仿宋_GB2312" w:cs="Times New Roman"/>
                <w:b w:val="0"/>
                <w:bCs w:val="0"/>
                <w:sz w:val="20"/>
                <w:szCs w:val="20"/>
                <w:vertAlign w:val="baseline"/>
                <w:lang w:val="en-US" w:eastAsia="zh-CN"/>
              </w:rPr>
              <w:t>90%</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b w:val="0"/>
                <w:bCs w:val="0"/>
                <w:sz w:val="20"/>
                <w:szCs w:val="20"/>
                <w:vertAlign w:val="baseline"/>
                <w:lang w:val="en-US" w:eastAsia="zh-CN"/>
              </w:rPr>
              <w:t>≥</w:t>
            </w:r>
            <w:r>
              <w:rPr>
                <w:rFonts w:hint="default" w:ascii="Times New Roman" w:hAnsi="Times New Roman" w:eastAsia="仿宋_GB2312" w:cs="Times New Roman"/>
                <w:b w:val="0"/>
                <w:bCs w:val="0"/>
                <w:sz w:val="20"/>
                <w:szCs w:val="20"/>
                <w:vertAlign w:val="baseline"/>
                <w:lang w:val="en-US" w:eastAsia="zh-CN"/>
              </w:rPr>
              <w:t>90%</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2</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rPr>
              <w:t>参与市级物流项目评审、物流政策和措施等文件修改任务</w:t>
            </w:r>
            <w:r>
              <w:rPr>
                <w:rFonts w:hint="default" w:ascii="Times New Roman" w:hAnsi="Times New Roman" w:eastAsia="仿宋_GB2312" w:cs="Times New Roman"/>
                <w:sz w:val="20"/>
                <w:szCs w:val="20"/>
                <w:lang w:val="en-US" w:eastAsia="zh-CN"/>
              </w:rPr>
              <w:t>满意度</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b w:val="0"/>
                <w:bCs w:val="0"/>
                <w:sz w:val="20"/>
                <w:szCs w:val="20"/>
                <w:vertAlign w:val="baseline"/>
                <w:lang w:val="en-US" w:eastAsia="zh-CN"/>
              </w:rPr>
              <w:t>≥</w:t>
            </w:r>
            <w:r>
              <w:rPr>
                <w:rFonts w:hint="default" w:ascii="Times New Roman" w:hAnsi="Times New Roman" w:eastAsia="仿宋_GB2312" w:cs="Times New Roman"/>
                <w:b w:val="0"/>
                <w:bCs w:val="0"/>
                <w:sz w:val="20"/>
                <w:szCs w:val="20"/>
                <w:vertAlign w:val="baseline"/>
                <w:lang w:val="en-US" w:eastAsia="zh-CN"/>
              </w:rPr>
              <w:t>90%</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b w:val="0"/>
                <w:bCs w:val="0"/>
                <w:sz w:val="20"/>
                <w:szCs w:val="20"/>
                <w:vertAlign w:val="baseline"/>
                <w:lang w:val="en-US" w:eastAsia="zh-CN"/>
              </w:rPr>
              <w:t>≥</w:t>
            </w:r>
            <w:r>
              <w:rPr>
                <w:rFonts w:hint="default" w:ascii="Times New Roman" w:hAnsi="Times New Roman" w:eastAsia="仿宋_GB2312" w:cs="Times New Roman"/>
                <w:b w:val="0"/>
                <w:bCs w:val="0"/>
                <w:sz w:val="20"/>
                <w:szCs w:val="20"/>
                <w:vertAlign w:val="baseline"/>
                <w:lang w:val="en-US" w:eastAsia="zh-CN"/>
              </w:rPr>
              <w:t>90%</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lang w:val="en-US" w:eastAsia="zh-CN"/>
              </w:rPr>
              <w:t>简报见刊完成率</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b w:val="0"/>
                <w:bCs w:val="0"/>
                <w:sz w:val="20"/>
                <w:szCs w:val="20"/>
                <w:vertAlign w:val="baseline"/>
                <w:lang w:val="en-US" w:eastAsia="zh-CN"/>
              </w:rPr>
              <w:t>100%</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b w:val="0"/>
                <w:bCs w:val="0"/>
                <w:sz w:val="20"/>
                <w:szCs w:val="20"/>
                <w:vertAlign w:val="baseline"/>
                <w:lang w:val="en-US" w:eastAsia="zh-CN"/>
              </w:rPr>
              <w:t>100%</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时效指标</w:t>
            </w: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lang w:val="en-US" w:eastAsia="zh-CN"/>
              </w:rPr>
              <w:t>任务终期完成度</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b w:val="0"/>
                <w:bCs w:val="0"/>
                <w:sz w:val="20"/>
                <w:szCs w:val="20"/>
                <w:vertAlign w:val="baseline"/>
                <w:lang w:val="en-US" w:eastAsia="zh-CN"/>
              </w:rPr>
              <w:t>100%</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b w:val="0"/>
                <w:bCs w:val="0"/>
                <w:sz w:val="20"/>
                <w:szCs w:val="20"/>
                <w:vertAlign w:val="baseline"/>
                <w:lang w:val="en-US" w:eastAsia="zh-CN"/>
              </w:rPr>
              <w:t>100%</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2</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lang w:val="en-US" w:eastAsia="zh-CN"/>
              </w:rPr>
              <w:t>支出预算执行率</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b w:val="0"/>
                <w:bCs w:val="0"/>
                <w:sz w:val="20"/>
                <w:szCs w:val="20"/>
                <w:vertAlign w:val="baseline"/>
                <w:lang w:val="en-US" w:eastAsia="zh-CN"/>
              </w:rPr>
              <w:t>≥</w:t>
            </w:r>
            <w:r>
              <w:rPr>
                <w:rFonts w:hint="default" w:ascii="Times New Roman" w:hAnsi="Times New Roman" w:eastAsia="仿宋_GB2312" w:cs="Times New Roman"/>
                <w:b w:val="0"/>
                <w:bCs w:val="0"/>
                <w:sz w:val="20"/>
                <w:szCs w:val="20"/>
                <w:vertAlign w:val="baseline"/>
                <w:lang w:val="en-US" w:eastAsia="zh-CN"/>
              </w:rPr>
              <w:t>95%</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b w:val="0"/>
                <w:bCs w:val="0"/>
                <w:sz w:val="20"/>
                <w:szCs w:val="20"/>
                <w:vertAlign w:val="baseline"/>
                <w:lang w:val="en-US" w:eastAsia="zh-CN"/>
              </w:rPr>
              <w:t>≥</w:t>
            </w:r>
            <w:r>
              <w:rPr>
                <w:rFonts w:hint="default" w:ascii="Times New Roman" w:hAnsi="Times New Roman" w:eastAsia="仿宋_GB2312" w:cs="Times New Roman"/>
                <w:b w:val="0"/>
                <w:bCs w:val="0"/>
                <w:sz w:val="20"/>
                <w:szCs w:val="20"/>
                <w:vertAlign w:val="baseline"/>
                <w:lang w:val="en-US" w:eastAsia="zh-CN"/>
              </w:rPr>
              <w:t>95%</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2</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rPr>
              <w:t>成本指标</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课题研究经费投入</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6万</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6万</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2</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调研经费投入</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25万</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25万</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bidi="ar-SA"/>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2</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人才培养费</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5万</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lang w:val="en-US" w:eastAsia="zh-CN"/>
              </w:rPr>
              <w:t>5万</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bidi="ar-SA"/>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bidi="ar-SA"/>
              </w:rPr>
              <w:t>2</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效益指标</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（30分）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10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经济效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益指标</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社会效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益指标</w:t>
            </w: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lang w:val="en-US" w:eastAsia="zh-CN"/>
              </w:rPr>
              <w:t>企业覆盖率</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b w:val="0"/>
                <w:bCs w:val="0"/>
                <w:sz w:val="20"/>
                <w:szCs w:val="20"/>
                <w:vertAlign w:val="baseline"/>
                <w:lang w:val="en-US" w:eastAsia="zh-CN"/>
              </w:rPr>
              <w:t>≥</w:t>
            </w:r>
            <w:r>
              <w:rPr>
                <w:rFonts w:hint="default" w:ascii="Times New Roman" w:hAnsi="Times New Roman" w:eastAsia="仿宋_GB2312" w:cs="Times New Roman"/>
                <w:b w:val="0"/>
                <w:bCs w:val="0"/>
                <w:sz w:val="20"/>
                <w:szCs w:val="20"/>
                <w:vertAlign w:val="baseline"/>
                <w:lang w:val="en-US" w:eastAsia="zh-CN"/>
              </w:rPr>
              <w:t>95%</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b w:val="0"/>
                <w:bCs w:val="0"/>
                <w:sz w:val="20"/>
                <w:szCs w:val="20"/>
                <w:vertAlign w:val="baseline"/>
                <w:lang w:val="en-US" w:eastAsia="zh-CN"/>
              </w:rPr>
              <w:t>≥</w:t>
            </w:r>
            <w:r>
              <w:rPr>
                <w:rFonts w:hint="default" w:ascii="Times New Roman" w:hAnsi="Times New Roman" w:eastAsia="仿宋_GB2312" w:cs="Times New Roman"/>
                <w:b w:val="0"/>
                <w:bCs w:val="0"/>
                <w:sz w:val="20"/>
                <w:szCs w:val="20"/>
                <w:vertAlign w:val="baseline"/>
                <w:lang w:val="en-US" w:eastAsia="zh-CN"/>
              </w:rPr>
              <w:t>95%</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10</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10</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lang w:val="en-US" w:eastAsia="zh-CN"/>
              </w:rPr>
              <w:t>社会认可度</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b w:val="0"/>
                <w:bCs w:val="0"/>
                <w:sz w:val="20"/>
                <w:szCs w:val="20"/>
                <w:vertAlign w:val="baseline"/>
                <w:lang w:val="en-US" w:eastAsia="zh-CN"/>
              </w:rPr>
              <w:t>≥</w:t>
            </w:r>
            <w:r>
              <w:rPr>
                <w:rFonts w:hint="default" w:ascii="Times New Roman" w:hAnsi="Times New Roman" w:eastAsia="仿宋_GB2312" w:cs="Times New Roman"/>
                <w:b w:val="0"/>
                <w:bCs w:val="0"/>
                <w:sz w:val="20"/>
                <w:szCs w:val="20"/>
                <w:vertAlign w:val="baseline"/>
                <w:lang w:val="en-US" w:eastAsia="zh-CN"/>
              </w:rPr>
              <w:t>95%</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b w:val="0"/>
                <w:bCs w:val="0"/>
                <w:sz w:val="20"/>
                <w:szCs w:val="20"/>
                <w:vertAlign w:val="baseline"/>
                <w:lang w:val="en-US" w:eastAsia="zh-CN"/>
              </w:rPr>
              <w:t>≥</w:t>
            </w:r>
            <w:r>
              <w:rPr>
                <w:rFonts w:hint="default" w:ascii="Times New Roman" w:hAnsi="Times New Roman" w:eastAsia="仿宋_GB2312" w:cs="Times New Roman"/>
                <w:b w:val="0"/>
                <w:bCs w:val="0"/>
                <w:sz w:val="20"/>
                <w:szCs w:val="20"/>
                <w:vertAlign w:val="baseline"/>
                <w:lang w:val="en-US" w:eastAsia="zh-CN"/>
              </w:rPr>
              <w:t>95%</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10</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10</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生态效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益指标</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10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可持续影响指标</w:t>
            </w: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lang w:val="en-US" w:eastAsia="zh-CN"/>
              </w:rPr>
              <w:t>研究成果影响年限</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b w:val="0"/>
                <w:bCs w:val="0"/>
                <w:sz w:val="20"/>
                <w:szCs w:val="20"/>
                <w:vertAlign w:val="baseline"/>
                <w:lang w:val="en-US" w:eastAsia="zh-CN"/>
              </w:rPr>
              <w:t>≥</w:t>
            </w:r>
            <w:r>
              <w:rPr>
                <w:rFonts w:hint="default" w:ascii="Times New Roman" w:hAnsi="Times New Roman" w:eastAsia="仿宋_GB2312" w:cs="Times New Roman"/>
                <w:b w:val="0"/>
                <w:bCs w:val="0"/>
                <w:sz w:val="20"/>
                <w:szCs w:val="20"/>
                <w:vertAlign w:val="baseline"/>
                <w:lang w:val="en-US" w:eastAsia="zh-CN"/>
              </w:rPr>
              <w:t>2年</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b w:val="0"/>
                <w:bCs w:val="0"/>
                <w:sz w:val="20"/>
                <w:szCs w:val="20"/>
                <w:vertAlign w:val="baseline"/>
                <w:lang w:val="en-US" w:eastAsia="zh-CN"/>
              </w:rPr>
              <w:t>≥</w:t>
            </w:r>
            <w:r>
              <w:rPr>
                <w:rFonts w:hint="default" w:ascii="Times New Roman" w:hAnsi="Times New Roman" w:eastAsia="仿宋_GB2312" w:cs="Times New Roman"/>
                <w:b w:val="0"/>
                <w:bCs w:val="0"/>
                <w:sz w:val="20"/>
                <w:szCs w:val="20"/>
                <w:vertAlign w:val="baseline"/>
                <w:lang w:val="en-US" w:eastAsia="zh-CN"/>
              </w:rPr>
              <w:t>2年</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10</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10</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满意度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指标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rPr>
              <w:t>（10分）</w:t>
            </w:r>
          </w:p>
        </w:tc>
        <w:tc>
          <w:tcPr>
            <w:tcW w:w="10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sz w:val="20"/>
                <w:szCs w:val="20"/>
                <w:highlight w:val="none"/>
              </w:rPr>
              <w:t>服务对象满意度指标</w:t>
            </w: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lang w:val="en-US" w:eastAsia="zh-CN"/>
              </w:rPr>
              <w:t>教职工满意度</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b w:val="0"/>
                <w:bCs w:val="0"/>
                <w:sz w:val="20"/>
                <w:szCs w:val="20"/>
                <w:vertAlign w:val="baseline"/>
                <w:lang w:val="en-US" w:eastAsia="zh-CN"/>
              </w:rPr>
            </w:pPr>
            <w:r>
              <w:rPr>
                <w:rFonts w:hint="default" w:ascii="Times New Roman" w:hAnsi="Times New Roman" w:eastAsia="仿宋_GB2312" w:cs="Times New Roman"/>
                <w:b w:val="0"/>
                <w:bCs w:val="0"/>
                <w:sz w:val="20"/>
                <w:szCs w:val="20"/>
                <w:vertAlign w:val="baseline"/>
                <w:lang w:val="en-US" w:eastAsia="zh-CN"/>
              </w:rPr>
              <w:t>≥</w:t>
            </w:r>
            <w:r>
              <w:rPr>
                <w:rFonts w:hint="default" w:ascii="Times New Roman" w:hAnsi="Times New Roman" w:eastAsia="仿宋_GB2312" w:cs="Times New Roman"/>
                <w:b w:val="0"/>
                <w:bCs w:val="0"/>
                <w:sz w:val="20"/>
                <w:szCs w:val="20"/>
                <w:vertAlign w:val="baseline"/>
                <w:lang w:val="en-US" w:eastAsia="zh-CN"/>
              </w:rPr>
              <w:t>98%</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b w:val="0"/>
                <w:bCs w:val="0"/>
                <w:sz w:val="20"/>
                <w:szCs w:val="20"/>
                <w:vertAlign w:val="baseline"/>
                <w:lang w:val="en-US" w:eastAsia="zh-CN"/>
              </w:rPr>
            </w:pPr>
            <w:r>
              <w:rPr>
                <w:rFonts w:hint="default" w:ascii="Times New Roman" w:hAnsi="Times New Roman" w:eastAsia="仿宋_GB2312" w:cs="Times New Roman"/>
                <w:b w:val="0"/>
                <w:bCs w:val="0"/>
                <w:sz w:val="20"/>
                <w:szCs w:val="20"/>
                <w:vertAlign w:val="baseline"/>
                <w:lang w:val="en-US" w:eastAsia="zh-CN"/>
              </w:rPr>
              <w:t>100%</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5</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5</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sz w:val="20"/>
                <w:szCs w:val="20"/>
                <w:lang w:val="en-US" w:eastAsia="zh-CN"/>
              </w:rPr>
              <w:t>物流产业链满意度</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b w:val="0"/>
                <w:bCs w:val="0"/>
                <w:sz w:val="20"/>
                <w:szCs w:val="20"/>
                <w:vertAlign w:val="baseline"/>
                <w:lang w:val="en-US" w:eastAsia="zh-CN"/>
              </w:rPr>
            </w:pPr>
            <w:r>
              <w:rPr>
                <w:rFonts w:hint="default" w:ascii="Times New Roman" w:hAnsi="Times New Roman" w:eastAsia="仿宋_GB2312" w:cs="Times New Roman"/>
                <w:b w:val="0"/>
                <w:bCs w:val="0"/>
                <w:sz w:val="20"/>
                <w:szCs w:val="20"/>
                <w:vertAlign w:val="baseline"/>
                <w:lang w:val="en-US" w:eastAsia="zh-CN"/>
              </w:rPr>
              <w:t>≥</w:t>
            </w:r>
            <w:r>
              <w:rPr>
                <w:rFonts w:hint="default" w:ascii="Times New Roman" w:hAnsi="Times New Roman" w:eastAsia="仿宋_GB2312" w:cs="Times New Roman"/>
                <w:b w:val="0"/>
                <w:bCs w:val="0"/>
                <w:sz w:val="20"/>
                <w:szCs w:val="20"/>
                <w:vertAlign w:val="baseline"/>
                <w:lang w:val="en-US" w:eastAsia="zh-CN"/>
              </w:rPr>
              <w:t>90%</w:t>
            </w:r>
          </w:p>
        </w:tc>
        <w:tc>
          <w:tcPr>
            <w:tcW w:w="11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b w:val="0"/>
                <w:bCs w:val="0"/>
                <w:sz w:val="20"/>
                <w:szCs w:val="20"/>
                <w:vertAlign w:val="baseline"/>
                <w:lang w:val="en-US" w:eastAsia="zh-CN"/>
              </w:rPr>
            </w:pPr>
            <w:r>
              <w:rPr>
                <w:rFonts w:hint="default" w:ascii="Times New Roman" w:hAnsi="Times New Roman" w:eastAsia="仿宋_GB2312" w:cs="Times New Roman"/>
                <w:b w:val="0"/>
                <w:bCs w:val="0"/>
                <w:sz w:val="20"/>
                <w:szCs w:val="20"/>
                <w:vertAlign w:val="baseline"/>
                <w:lang w:val="en-US" w:eastAsia="zh-CN"/>
              </w:rPr>
              <w:t>90%</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5</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5</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01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总分</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100</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98</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22"/>
          <w:szCs w:val="22"/>
          <w:highlight w:val="none"/>
        </w:rPr>
        <w:t>填表人：</w:t>
      </w:r>
      <w:r>
        <w:rPr>
          <w:rFonts w:hint="default" w:ascii="Times New Roman" w:hAnsi="Times New Roman" w:eastAsia="仿宋_GB2312" w:cs="Times New Roman"/>
          <w:sz w:val="22"/>
          <w:szCs w:val="22"/>
          <w:highlight w:val="none"/>
          <w:lang w:val="en-US" w:eastAsia="zh-CN"/>
        </w:rPr>
        <w:t>曾艳红</w:t>
      </w:r>
      <w:r>
        <w:rPr>
          <w:rFonts w:hint="default" w:ascii="Times New Roman" w:hAnsi="Times New Roman" w:eastAsia="仿宋_GB2312" w:cs="Times New Roman"/>
          <w:sz w:val="22"/>
          <w:szCs w:val="22"/>
          <w:highlight w:val="none"/>
        </w:rPr>
        <w:t xml:space="preserve">  </w:t>
      </w:r>
      <w:r>
        <w:rPr>
          <w:rFonts w:hint="default"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default" w:ascii="Times New Roman" w:hAnsi="Times New Roman" w:eastAsia="仿宋_GB2312" w:cs="Times New Roman"/>
          <w:sz w:val="22"/>
          <w:szCs w:val="22"/>
          <w:highlight w:val="none"/>
          <w:lang w:val="en-US" w:eastAsia="zh-CN"/>
        </w:rPr>
        <w:t>2024.6.26</w:t>
      </w:r>
      <w:r>
        <w:rPr>
          <w:rFonts w:hint="default" w:ascii="Times New Roman" w:hAnsi="Times New Roman" w:eastAsia="仿宋_GB2312" w:cs="Times New Roman"/>
          <w:sz w:val="22"/>
          <w:szCs w:val="22"/>
          <w:highlight w:val="none"/>
        </w:rPr>
        <w:t xml:space="preserve">  </w:t>
      </w:r>
      <w:r>
        <w:rPr>
          <w:rFonts w:hint="default"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default" w:ascii="Times New Roman" w:hAnsi="Times New Roman" w:eastAsia="仿宋_GB2312" w:cs="Times New Roman"/>
          <w:sz w:val="22"/>
          <w:szCs w:val="22"/>
          <w:highlight w:val="none"/>
          <w:lang w:val="en-US" w:eastAsia="zh-CN"/>
        </w:rPr>
        <w:t>13627303886</w:t>
      </w:r>
      <w:r>
        <w:rPr>
          <w:rFonts w:hint="default" w:ascii="Times New Roman" w:hAnsi="Times New Roman" w:eastAsia="仿宋_GB2312" w:cs="Times New Roman"/>
          <w:sz w:val="22"/>
          <w:szCs w:val="22"/>
          <w:highlight w:val="none"/>
        </w:rPr>
        <w:t xml:space="preserve">  </w:t>
      </w:r>
      <w:r>
        <w:rPr>
          <w:rFonts w:hint="default"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p>
    <w:sectPr>
      <w:pgSz w:w="11906" w:h="16838"/>
      <w:pgMar w:top="1417" w:right="1587" w:bottom="1417" w:left="1587" w:header="851" w:footer="992" w:gutter="0"/>
      <w:cols w:space="0" w:num="1"/>
      <w:rtlGutter w:val="0"/>
      <w:docGrid w:type="lines" w:linePitch="4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96D78"/>
    <w:multiLevelType w:val="singleLevel"/>
    <w:tmpl w:val="8E496D78"/>
    <w:lvl w:ilvl="0" w:tentative="0">
      <w:start w:val="1"/>
      <w:numFmt w:val="decimal"/>
      <w:lvlText w:val="%1."/>
      <w:lvlJc w:val="left"/>
      <w:pPr>
        <w:tabs>
          <w:tab w:val="left" w:pos="312"/>
        </w:tabs>
      </w:pPr>
    </w:lvl>
  </w:abstractNum>
  <w:abstractNum w:abstractNumId="1">
    <w:nsid w:val="3F20A769"/>
    <w:multiLevelType w:val="singleLevel"/>
    <w:tmpl w:val="3F20A769"/>
    <w:lvl w:ilvl="0" w:tentative="0">
      <w:start w:val="8"/>
      <w:numFmt w:val="chineseCounting"/>
      <w:suff w:val="nothing"/>
      <w:lvlText w:val="%1、"/>
      <w:lvlJc w:val="left"/>
      <w:rPr>
        <w:rFonts w:hint="eastAsia"/>
      </w:rPr>
    </w:lvl>
  </w:abstractNum>
  <w:abstractNum w:abstractNumId="2">
    <w:nsid w:val="5DE84991"/>
    <w:multiLevelType w:val="singleLevel"/>
    <w:tmpl w:val="5DE84991"/>
    <w:lvl w:ilvl="0" w:tentative="0">
      <w:start w:val="2"/>
      <w:numFmt w:val="chineseCounting"/>
      <w:suff w:val="nothing"/>
      <w:lvlText w:val="（%1）"/>
      <w:lvlJc w:val="left"/>
      <w:rPr>
        <w:rFonts w:hint="eastAsia"/>
      </w:rPr>
    </w:lvl>
  </w:abstractNum>
  <w:abstractNum w:abstractNumId="3">
    <w:nsid w:val="782D426D"/>
    <w:multiLevelType w:val="singleLevel"/>
    <w:tmpl w:val="782D426D"/>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20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86344"/>
    <w:rsid w:val="1C046091"/>
    <w:rsid w:val="1D6101CC"/>
    <w:rsid w:val="4371216C"/>
    <w:rsid w:val="473A70AA"/>
    <w:rsid w:val="47A70F0E"/>
    <w:rsid w:val="4DD5756D"/>
    <w:rsid w:val="59886344"/>
    <w:rsid w:val="5DC2279D"/>
    <w:rsid w:val="6F2E214D"/>
    <w:rsid w:val="72386707"/>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next w:val="1"/>
    <w:qFormat/>
    <w:uiPriority w:val="0"/>
    <w:pPr>
      <w:snapToGrid/>
      <w:spacing w:line="400" w:lineRule="exact"/>
      <w:ind w:firstLine="480" w:firstLineChars="200"/>
    </w:pPr>
    <w:rPr>
      <w:rFonts w:ascii="Calibri" w:hAnsi="Calibri" w:cs="Calibri"/>
      <w:sz w:val="21"/>
      <w:szCs w:val="21"/>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列出段落1"/>
    <w:basedOn w:val="1"/>
    <w:qFormat/>
    <w:uiPriority w:val="34"/>
    <w:pPr>
      <w:ind w:firstLine="420" w:firstLineChars="200"/>
    </w:pPr>
  </w:style>
  <w:style w:type="paragraph" w:styleId="8">
    <w:name w:val="List Paragraph"/>
    <w:basedOn w:val="1"/>
    <w:qFormat/>
    <w:uiPriority w:val="99"/>
    <w:pPr>
      <w:ind w:firstLine="420" w:firstLineChars="200"/>
    </w:pPr>
    <w:rPr>
      <w:rFonts w:ascii="Calibri" w:hAnsi="Calibri"/>
      <w:szCs w:val="22"/>
    </w:rPr>
  </w:style>
  <w:style w:type="table" w:customStyle="1" w:styleId="9">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yxzds8866</cp:lastModifiedBy>
  <cp:lastPrinted>2024-06-28T03:18:20Z</cp:lastPrinted>
  <dcterms:modified xsi:type="dcterms:W3CDTF">2024-06-28T05:29:10Z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6182D3A10D564617983F46DEE354AEAF</vt:lpwstr>
  </property>
</Properties>
</file>