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岳阳市道路运输服务中心</w:t>
      </w:r>
      <w:r>
        <w:rPr>
          <w:rFonts w:hint="eastAsia" w:ascii="方正小标宋_GBK" w:hAnsi="方正小标宋_GBK" w:eastAsia="方正小标宋_GBK" w:cs="方正小标宋_GBK"/>
          <w:sz w:val="84"/>
          <w:szCs w:val="84"/>
        </w:rPr>
        <w:t>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岳阳市道路运输服务中心</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岳阳市道路运输服务中心</w:t>
      </w:r>
      <w:r>
        <w:rPr>
          <w:rFonts w:hint="eastAsia" w:ascii="方正小标宋_GBK" w:hAnsi="方正小标宋_GBK" w:eastAsia="方正小标宋_GBK" w:cs="方正小标宋_GBK"/>
          <w:sz w:val="84"/>
          <w:szCs w:val="84"/>
        </w:rPr>
        <w:t>概况</w:t>
      </w:r>
    </w:p>
    <w:p>
      <w:pPr>
        <w:pStyle w:val="8"/>
        <w:rPr>
          <w:rFonts w:hint="eastAsia" w:ascii="方正小标宋_GBK" w:hAnsi="方正小标宋_GBK" w:eastAsia="方正小标宋_GBK" w:cs="方正小标宋_GBK"/>
          <w:sz w:val="84"/>
          <w:szCs w:val="84"/>
        </w:rPr>
      </w:pPr>
    </w:p>
    <w:p>
      <w:pPr>
        <w:pStyle w:val="4"/>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8"/>
        <w:rPr>
          <w:rFonts w:hint="eastAsia" w:ascii="方正小标宋_GBK" w:hAnsi="方正小标宋_GBK" w:eastAsia="方正小标宋_GBK" w:cs="方正小标宋_GBK"/>
          <w:sz w:val="84"/>
          <w:szCs w:val="84"/>
        </w:rPr>
      </w:pPr>
    </w:p>
    <w:p>
      <w:pPr>
        <w:pStyle w:val="4"/>
        <w:rPr>
          <w:rFonts w:hint="eastAsia" w:ascii="方正小标宋_GBK" w:hAnsi="方正小标宋_GBK" w:eastAsia="方正小标宋_GBK" w:cs="方正小标宋_GBK"/>
          <w:sz w:val="84"/>
          <w:szCs w:val="84"/>
        </w:rPr>
      </w:pP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（一）</w:t>
      </w:r>
      <w:r>
        <w:rPr>
          <w:rFonts w:hint="eastAsia" w:ascii="仿宋_GB2312" w:hAnsi="仿宋_GB2312" w:eastAsia="仿宋_GB2312" w:cs="仿宋_GB2312"/>
          <w:sz w:val="32"/>
          <w:szCs w:val="40"/>
        </w:rPr>
        <w:t>参与拟订全市道路运输、城市公交、出租汽车、铁路 运输、交通科技信息行业地方性法规、政策以及发展规划、年度计划并实施的事务性工作；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负责权限内道路运输、城市公交、出租汽车和地方铁路运输行业运行发展、管理服务的行政辅助工作；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负责权限内交通运输领域行政许可事项的行政辅助工作以及交通运输领域行政执法的事务性工作；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道路客货运输市场、机动车驾驶员培训市场、机动车维修市场、城市公交、出租汽车等行业统计分析、环境保护、节能减排、行业诚信体系建设、质量信誉考核和相关政策性补助资金审核申报的行政辅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负责权限内道路运输营运车辆年度审验、异动办理、技术等级评定及道路运输站（场）资质等级评定、建设管理等相关行政辅助工作；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六</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负责城市出租汽车运力投放的行政辅助工作；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七</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负责铁路沿线安全环境整治、铁路施工工程质量监管的行政辅助工作；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八</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负责交通战备、春运、重大节假日运输、重点物资运输、抢险救灾等应急运输保障事务性工作；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九</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参与制定和调整道路运输、城市公交行业的价格标准和收费标准；负责道路运输、城市公交、出租汽车行业从业人员培训、考试（考核）、认定、继续教育的行政辅助工作；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负责组织交通运输系统干部职工教育培训工作；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w:t>
      </w:r>
      <w:r>
        <w:rPr>
          <w:rFonts w:hint="eastAsia" w:ascii="Times New Roman" w:hAnsi="Times New Roman" w:eastAsia="仿宋_GB2312" w:cs="仿宋_GB2312"/>
          <w:sz w:val="32"/>
          <w:szCs w:val="32"/>
        </w:rPr>
        <w:t>一）</w:t>
      </w:r>
      <w:r>
        <w:rPr>
          <w:rFonts w:hint="eastAsia" w:ascii="仿宋_GB2312" w:hAnsi="仿宋_GB2312" w:eastAsia="仿宋_GB2312" w:cs="仿宋_GB2312"/>
          <w:sz w:val="32"/>
          <w:szCs w:val="40"/>
        </w:rPr>
        <w:t>负责交通运输信息化建设、政务信息、网络安全等技术支撑工作；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十二</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负责交通运输系统重大项目前期有关事务性工作；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十三</w:t>
      </w:r>
      <w:r>
        <w:rPr>
          <w:rFonts w:hint="eastAsia" w:ascii="Times New Roman" w:hAnsi="Times New Roman" w:eastAsia="仿宋_GB2312" w:cs="仿宋_GB2312"/>
          <w:sz w:val="32"/>
          <w:szCs w:val="32"/>
        </w:rPr>
        <w:t>）</w:t>
      </w:r>
      <w:r>
        <w:rPr>
          <w:rFonts w:hint="eastAsia" w:ascii="仿宋_GB2312" w:hAnsi="仿宋_GB2312" w:eastAsia="仿宋_GB2312" w:cs="仿宋_GB2312"/>
          <w:sz w:val="32"/>
          <w:szCs w:val="40"/>
        </w:rPr>
        <w:t>负责权限内道路运输和铁路运输领域安全巡查、宣传教育等事务性工作。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autoSpaceDE/>
        <w:autoSpaceDN/>
        <w:adjustRightInd/>
        <w:spacing w:line="560" w:lineRule="exact"/>
        <w:ind w:firstLine="640" w:firstLineChars="200"/>
        <w:rPr>
          <w:rFonts w:hint="eastAsia" w:ascii="仿宋_GB2312" w:hAnsi="仿宋_GB2312" w:eastAsia="仿宋_GB2312" w:cs="仿宋_GB2312"/>
          <w:sz w:val="32"/>
          <w:szCs w:val="40"/>
        </w:rPr>
      </w:pPr>
      <w:r>
        <w:rPr>
          <w:rFonts w:hint="eastAsia" w:ascii="Times New Roman" w:hAnsi="Times New Roman" w:eastAsia="仿宋_GB2312" w:cs="仿宋_GB2312"/>
          <w:bCs/>
          <w:kern w:val="0"/>
          <w:sz w:val="32"/>
          <w:szCs w:val="32"/>
        </w:rPr>
        <w:t>（一）</w:t>
      </w:r>
      <w:r>
        <w:rPr>
          <w:rFonts w:hint="eastAsia" w:ascii="仿宋_GB2312" w:hAnsi="仿宋_GB2312" w:eastAsia="仿宋_GB2312" w:cs="仿宋_GB2312"/>
          <w:sz w:val="32"/>
          <w:szCs w:val="40"/>
        </w:rPr>
        <w:t>市道路运输服务中心为市交通运输局管理的公益一类事业单位，机构规格为副处级。中心下设10个内设机构：综合部、安全法务部、运输服务部、车辆技术事务部、战备应急部、项目服务部、科技信息部、驾培维修市场服务部、人事部、财务部；下设3个分支机构，分别为市营运车辆管理所、市从业人员管理所、市铁路管理所。核定全额拔款事业编制90名。单位现实有在编人员82名。核定领导职数6名，设主任（副处级）1名，党委副职（正科级）5名（其中党委专职副书记1名）；内设机构副科级领导职数11名（含党委办主任1名）；分支机构正科级领导职数3名、副科级领导职数6名。</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p>
    <w:p>
      <w:pPr>
        <w:jc w:val="left"/>
      </w:pPr>
      <w:r>
        <w:rPr>
          <w:rFonts w:hint="eastAsia" w:ascii="Times New Roman" w:hAnsi="Times New Roman" w:eastAsia="仿宋_GB2312" w:cs="仿宋_GB2312"/>
          <w:bCs/>
          <w:kern w:val="0"/>
          <w:sz w:val="32"/>
          <w:szCs w:val="32"/>
          <w:lang w:eastAsia="zh-CN"/>
        </w:rPr>
        <w:t>岳阳市道路运输服务中心</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本单位无独立核算的下属单位，</w:t>
      </w:r>
      <w:r>
        <w:rPr>
          <w:rFonts w:hint="eastAsia" w:ascii="Times New Roman" w:hAnsi="Times New Roman" w:eastAsia="仿宋_GB2312" w:cs="仿宋_GB2312"/>
          <w:bCs/>
          <w:kern w:val="0"/>
          <w:sz w:val="32"/>
          <w:szCs w:val="32"/>
          <w:lang w:val="en-US" w:eastAsia="zh-CN"/>
        </w:rPr>
        <w:t>2023年度部门决算汇总公开单位仅包括岳阳市道路运输服务中心本级</w:t>
      </w:r>
      <w:r>
        <w:rPr>
          <w:rFonts w:hint="eastAsia" w:ascii="Times New Roman" w:hAnsi="Times New Roman" w:eastAsia="仿宋_GB2312" w:cs="仿宋_GB2312"/>
          <w:bCs/>
          <w:kern w:val="0"/>
          <w:sz w:val="32"/>
          <w:szCs w:val="32"/>
        </w:rPr>
        <w:t>。</w:t>
      </w:r>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302.55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16.7</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lang w:eastAsia="zh-CN"/>
        </w:rPr>
        <w:t>交通运输支出相比上年减少</w:t>
      </w:r>
      <w:r>
        <w:rPr>
          <w:rFonts w:hint="eastAsia" w:ascii="Times New Roman" w:hAnsi="Times New Roman" w:eastAsia="仿宋_GB2312"/>
          <w:sz w:val="32"/>
          <w:szCs w:val="32"/>
          <w:lang w:val="en-US" w:eastAsia="zh-CN"/>
        </w:rPr>
        <w:t>320.28万元，减少19.65%。</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1455.89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96.58</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51.54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3.42</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ind w:firstLine="960" w:firstLineChars="300"/>
        <w:jc w:val="both"/>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150.83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lang w:eastAsia="zh-CN"/>
        </w:rPr>
        <w:t>交通运输支出相比上年减少</w:t>
      </w:r>
      <w:r>
        <w:rPr>
          <w:rFonts w:hint="eastAsia" w:ascii="Times New Roman" w:hAnsi="Times New Roman" w:eastAsia="仿宋_GB2312"/>
          <w:sz w:val="32"/>
          <w:szCs w:val="32"/>
          <w:lang w:val="en-US" w:eastAsia="zh-CN"/>
        </w:rPr>
        <w:t>320.28万元，减少19.65%。</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150.83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%，主要是因为</w:t>
      </w:r>
      <w:r>
        <w:rPr>
          <w:rFonts w:hint="eastAsia" w:ascii="Times New Roman" w:hAnsi="Times New Roman" w:eastAsia="仿宋_GB2312"/>
          <w:sz w:val="32"/>
          <w:szCs w:val="32"/>
          <w:lang w:eastAsia="zh-CN"/>
        </w:rPr>
        <w:t>交通运输支出相比上年减少</w:t>
      </w:r>
      <w:r>
        <w:rPr>
          <w:rFonts w:hint="eastAsia" w:ascii="Times New Roman" w:hAnsi="Times New Roman" w:eastAsia="仿宋_GB2312"/>
          <w:sz w:val="32"/>
          <w:szCs w:val="32"/>
          <w:lang w:val="en-US" w:eastAsia="zh-CN"/>
        </w:rPr>
        <w:t>320.28万元，减少19.65%。</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万元，主要用于以下方面：机关事业单位基本养老保险缴费支出</w:t>
      </w:r>
      <w:r>
        <w:rPr>
          <w:rFonts w:hint="eastAsia" w:ascii="仿宋_GB2312" w:hAnsi="仿宋_GB2312" w:eastAsia="仿宋_GB2312" w:cs="仿宋_GB2312"/>
          <w:sz w:val="32"/>
          <w:szCs w:val="32"/>
          <w:lang w:val="en-US" w:eastAsia="zh-CN"/>
        </w:rPr>
        <w:t>96.29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6.38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其他优抚支出</w:t>
      </w:r>
      <w:r>
        <w:rPr>
          <w:rFonts w:hint="eastAsia" w:ascii="仿宋_GB2312" w:hAnsi="仿宋_GB2312" w:eastAsia="仿宋_GB2312" w:cs="仿宋_GB2312"/>
          <w:sz w:val="32"/>
          <w:szCs w:val="32"/>
          <w:lang w:val="en-US" w:eastAsia="zh-CN"/>
        </w:rPr>
        <w:t>4.44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  其他社会保障和就业支出</w:t>
      </w:r>
      <w:r>
        <w:rPr>
          <w:rFonts w:hint="eastAsia" w:ascii="仿宋_GB2312" w:hAnsi="仿宋_GB2312" w:eastAsia="仿宋_GB2312" w:cs="仿宋_GB2312"/>
          <w:sz w:val="32"/>
          <w:szCs w:val="32"/>
          <w:lang w:val="en-US" w:eastAsia="zh-CN"/>
        </w:rPr>
        <w:t>2.99万元，占0.2%；行政运行1086.27万元，占72.06%；其他公路水路运输支出73.64万元，占4.88%；其他交通运输支出149.67万元，占9.92%；住房公积金94.13万元，占6.26%。</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1507.43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96.29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96.29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本单位按预算执行决算。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2、社会保障和就业支出（类）抚恤（</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）其他优抚支出（项）。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4.44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4.44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本单位按预算执行决算。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、社会保障和就业支出（类）其他社会保障和就业支出（款）其他社会保障和就业支出（项）。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2.99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2.99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本单位按预算执行决算。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、交通运输支出（类）公路水路运输（款）行政运行（项）。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1086.27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1086.27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本单位按预算执行决算。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、交通运输支出（类）公路水路运输（款）</w:t>
      </w:r>
      <w:r>
        <w:rPr>
          <w:rFonts w:hint="eastAsia" w:ascii="仿宋_GB2312" w:hAnsi="仿宋_GB2312" w:eastAsia="仿宋_GB2312" w:cs="仿宋_GB2312"/>
          <w:sz w:val="32"/>
          <w:szCs w:val="32"/>
          <w:lang w:val="en-US" w:eastAsia="zh-CN"/>
        </w:rPr>
        <w:t>其他公路水路运输支出</w:t>
      </w:r>
      <w:r>
        <w:rPr>
          <w:rFonts w:hint="eastAsia" w:ascii="仿宋_GB2312" w:hAnsi="仿宋_GB2312" w:eastAsia="仿宋_GB2312" w:cs="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73.64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73.64</w:t>
      </w:r>
      <w:r>
        <w:rPr>
          <w:rFonts w:hint="eastAsia" w:ascii="仿宋_GB2312" w:hAnsi="仿宋_GB2312" w:eastAsia="仿宋_GB2312" w:cs="仿宋_GB2312"/>
          <w:sz w:val="32"/>
          <w:szCs w:val="32"/>
        </w:rPr>
        <w:t>万元，完成年初预算的XX%，决算数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本单位按预算执行决算。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、交通运输支出（类）</w:t>
      </w:r>
      <w:r>
        <w:rPr>
          <w:rFonts w:hint="eastAsia" w:ascii="仿宋_GB2312" w:hAnsi="仿宋_GB2312" w:eastAsia="仿宋_GB2312" w:cs="仿宋_GB2312"/>
          <w:sz w:val="32"/>
          <w:szCs w:val="32"/>
          <w:lang w:val="en-US" w:eastAsia="zh-CN"/>
        </w:rPr>
        <w:t>其他交通运输支出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其他交通运输支出</w:t>
      </w:r>
      <w:r>
        <w:rPr>
          <w:rFonts w:hint="eastAsia" w:ascii="仿宋_GB2312" w:hAnsi="仿宋_GB2312" w:eastAsia="仿宋_GB2312" w:cs="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149.67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149.67</w:t>
      </w:r>
      <w:r>
        <w:rPr>
          <w:rFonts w:hint="eastAsia" w:ascii="仿宋_GB2312" w:hAnsi="仿宋_GB2312" w:eastAsia="仿宋_GB2312" w:cs="仿宋_GB2312"/>
          <w:sz w:val="32"/>
          <w:szCs w:val="32"/>
        </w:rPr>
        <w:t>万元，完成年初预算的XX%，决算数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本单位按预算执行决算。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、住房保障支出（类）住房改革支出（款）</w:t>
      </w:r>
      <w:r>
        <w:rPr>
          <w:rFonts w:hint="eastAsia" w:ascii="仿宋_GB2312" w:hAnsi="仿宋_GB2312" w:eastAsia="仿宋_GB2312" w:cs="仿宋_GB2312"/>
          <w:sz w:val="32"/>
          <w:szCs w:val="32"/>
          <w:lang w:eastAsia="zh-CN"/>
        </w:rPr>
        <w:t>住房公积金</w:t>
      </w:r>
      <w:r>
        <w:rPr>
          <w:rFonts w:hint="eastAsia" w:ascii="仿宋_GB2312" w:hAnsi="仿宋_GB2312" w:eastAsia="仿宋_GB2312" w:cs="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94.13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94.13</w:t>
      </w:r>
      <w:r>
        <w:rPr>
          <w:rFonts w:hint="eastAsia" w:ascii="仿宋_GB2312" w:hAnsi="仿宋_GB2312" w:eastAsia="仿宋_GB2312" w:cs="仿宋_GB2312"/>
          <w:sz w:val="32"/>
          <w:szCs w:val="32"/>
        </w:rPr>
        <w:t>万元，完成年初预算的XX%，决算数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本单位按预算执行决算。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1455.89</w:t>
      </w:r>
      <w:r>
        <w:rPr>
          <w:rFonts w:hint="eastAsia" w:ascii="仿宋_GB2312" w:hAnsi="仿宋_GB2312" w:eastAsia="仿宋_GB2312" w:cs="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1320.36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90.69</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、机关事业单位基本养老保险缴费、职业年金缴费、职工基本医疗保险缴费、其他社会保障缴费、住房公积金、退休费、抚恤金、其他对个人和家庭的补助。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135.53</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9.31</w:t>
      </w:r>
      <w:r>
        <w:rPr>
          <w:rFonts w:hint="eastAsia" w:ascii="仿宋_GB2312" w:hAnsi="仿宋_GB2312" w:eastAsia="仿宋_GB2312" w:cs="仿宋_GB2312"/>
          <w:sz w:val="32"/>
          <w:szCs w:val="32"/>
        </w:rPr>
        <w:t>%，主要包括办公费、印刷费、</w:t>
      </w:r>
      <w:r>
        <w:rPr>
          <w:rFonts w:hint="eastAsia" w:ascii="仿宋_GB2312" w:hAnsi="仿宋_GB2312" w:eastAsia="仿宋_GB2312" w:cs="仿宋_GB2312"/>
          <w:sz w:val="32"/>
          <w:szCs w:val="32"/>
          <w:lang w:eastAsia="zh-CN"/>
        </w:rPr>
        <w:t>水费、电费、邮电费、差旅费、维修（护）费、</w:t>
      </w:r>
      <w:r>
        <w:rPr>
          <w:rFonts w:hint="eastAsia" w:ascii="Times New Roman" w:hAnsi="Times New Roman" w:eastAsia="仿宋_GB2312"/>
          <w:sz w:val="32"/>
          <w:szCs w:val="32"/>
        </w:rPr>
        <w:t>劳务费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工会经费、</w:t>
      </w:r>
      <w:r>
        <w:rPr>
          <w:rFonts w:hint="eastAsia" w:ascii="Times New Roman" w:hAnsi="Times New Roman" w:eastAsia="仿宋_GB2312"/>
          <w:sz w:val="32"/>
          <w:szCs w:val="32"/>
          <w:lang w:eastAsia="zh-CN"/>
        </w:rPr>
        <w:t>其他交通费用、</w:t>
      </w:r>
      <w:r>
        <w:rPr>
          <w:rFonts w:hint="eastAsia" w:ascii="Times New Roman" w:hAnsi="Times New Roman" w:eastAsia="仿宋_GB2312"/>
          <w:sz w:val="32"/>
          <w:szCs w:val="32"/>
        </w:rPr>
        <w:t>其他商品和服务支出</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lang w:val="en-US" w:eastAsia="zh-CN"/>
        </w:rPr>
        <w:t>2023年度政府性基金预算财政拨款收入0万元；年初结转和结余0万元；支出0万元，其中基本支出0万元，项目支出0万元；年末结转和结余0万元。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2.52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2.52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Times New Roman" w:hAnsi="Times New Roman" w:eastAsia="仿宋_GB2312"/>
          <w:sz w:val="32"/>
          <w:szCs w:val="32"/>
        </w:rPr>
        <w:t>我单位</w:t>
      </w:r>
      <w:r>
        <w:rPr>
          <w:rFonts w:hint="eastAsia" w:ascii="Times New Roman" w:hAnsi="Times New Roman" w:eastAsia="仿宋_GB2312"/>
          <w:sz w:val="32"/>
          <w:szCs w:val="32"/>
          <w:lang w:eastAsia="zh-CN"/>
        </w:rPr>
        <w:t>严格按预算执行决算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0.42</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公务用车运行维护费支出减少</w:t>
      </w:r>
      <w:r>
        <w:rPr>
          <w:rFonts w:hint="eastAsia" w:ascii="仿宋_GB2312" w:hAnsi="仿宋_GB2312" w:eastAsia="仿宋_GB2312" w:cs="仿宋_GB2312"/>
          <w:sz w:val="32"/>
          <w:szCs w:val="32"/>
          <w:lang w:val="en-US" w:eastAsia="zh-CN"/>
        </w:rPr>
        <w:t>0.41万元</w:t>
      </w:r>
      <w:r>
        <w:rPr>
          <w:rFonts w:hint="eastAsia" w:ascii="仿宋_GB2312" w:hAnsi="仿宋_GB2312" w:eastAsia="仿宋_GB2312" w:cs="仿宋_GB2312"/>
          <w:sz w:val="32"/>
          <w:szCs w:val="32"/>
        </w:rPr>
        <w:t>。</w:t>
      </w:r>
    </w:p>
    <w:p>
      <w:pPr>
        <w:pStyle w:val="13"/>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因公出国（境）费支出预算为0万元，支出决算为0万元，决算数等于预算数，主要原因是我单位严格按预算执行决算；与上年一致，无增减变动，主要原因是未安排因公出国（境）活动。</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0.44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0.44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Times New Roman" w:hAnsi="Times New Roman" w:eastAsia="仿宋_GB2312"/>
          <w:sz w:val="32"/>
          <w:szCs w:val="32"/>
        </w:rPr>
        <w:t>我单位</w:t>
      </w:r>
      <w:r>
        <w:rPr>
          <w:rFonts w:hint="eastAsia" w:ascii="Times New Roman" w:hAnsi="Times New Roman" w:eastAsia="仿宋_GB2312"/>
          <w:sz w:val="32"/>
          <w:szCs w:val="32"/>
          <w:lang w:eastAsia="zh-CN"/>
        </w:rPr>
        <w:t>严格按预算执行决算</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val="en-US" w:eastAsia="zh-CN"/>
        </w:rPr>
        <w:t>按有关政策厉行节约，严控公务接待支出。</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公务用车购置费支出预算为0万元，支出决算为0万元，决算数等于预算数，主要原因是我单位严格按预算执行决算；与上年一致，无增减变动，主要原因是两年均未购置公务用车。</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Times New Roman" w:hAnsi="Times New Roman" w:eastAsia="仿宋_GB2312"/>
          <w:sz w:val="32"/>
          <w:szCs w:val="32"/>
        </w:rPr>
        <w:t>我单位</w:t>
      </w:r>
      <w:r>
        <w:rPr>
          <w:rFonts w:hint="eastAsia" w:ascii="Times New Roman" w:hAnsi="Times New Roman" w:eastAsia="仿宋_GB2312"/>
          <w:sz w:val="32"/>
          <w:szCs w:val="32"/>
          <w:lang w:eastAsia="zh-CN"/>
        </w:rPr>
        <w:t>严格按预算执行决算</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0.41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rPr>
        <w:t>%,减少的主要原因是。</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17.46</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82.54</w:t>
      </w: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1、因公出国（境）费支出决算为0万元，全年安排因公出国（境）团组0个，累计0人次，我单位2023年度无因公出国（境）费支出。</w:t>
      </w:r>
    </w:p>
    <w:p>
      <w:pPr>
        <w:pStyle w:val="13"/>
        <w:keepNext w:val="0"/>
        <w:keepLines w:val="0"/>
        <w:pageBreakBefore w:val="0"/>
        <w:widowControl w:val="0"/>
        <w:kinsoku/>
        <w:wordWrap/>
        <w:overflowPunct/>
        <w:topLinePunct w:val="0"/>
        <w:bidi w:val="0"/>
        <w:snapToGrid/>
        <w:spacing w:line="600" w:lineRule="exact"/>
        <w:ind w:firstLine="960" w:firstLineChars="30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w:t>
      </w:r>
      <w:r>
        <w:rPr>
          <w:rFonts w:hint="eastAsia" w:ascii="Times New Roman" w:hAnsi="Times New Roman" w:eastAsia="仿宋_GB2312"/>
          <w:sz w:val="32"/>
          <w:szCs w:val="32"/>
        </w:rPr>
        <w:t>公务接待费支出决算为</w:t>
      </w:r>
      <w:r>
        <w:rPr>
          <w:rFonts w:hint="eastAsia" w:ascii="Times New Roman" w:hAnsi="Times New Roman" w:eastAsia="仿宋_GB2312"/>
          <w:sz w:val="32"/>
          <w:szCs w:val="32"/>
          <w:lang w:val="en-US" w:eastAsia="zh-CN"/>
        </w:rPr>
        <w:t>0.44</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115</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安全检查、安全会议、驾驶员培训考试、运输企业监督等</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当年没有购置公务用车。</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万元，主要是</w:t>
      </w:r>
      <w:r>
        <w:rPr>
          <w:rFonts w:hint="eastAsia" w:ascii="Times New Roman" w:hAnsi="Times New Roman" w:eastAsia="仿宋_GB2312"/>
          <w:sz w:val="32"/>
          <w:szCs w:val="32"/>
          <w:lang w:val="en-US" w:eastAsia="zh-CN"/>
        </w:rPr>
        <w:t>汽油、维修、通行费</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本级和所属单位均为事业单位，按照机关运行经费的口径，本年度机关运行经费为0。</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3"/>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本单位无会议费的预算和支出决算数；本单位无培训费的预算和支出决算数；本单位无举办节庆、晚会、论坛、赛事等活动的预算和支出决算数。</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 xml:space="preserve"> 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截至2023年12月31日，本单位共有车辆0辆，其中，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辆、主要负责人用车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辆；单位价值100万元以上设备（不含车辆）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台（套）。</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1507.43万元，政府性基金预算支出0万元，国有资本经营预算支出0万元。从评价情况来看，整体支出绩效评价中，2023年整体支出1507.43万元，其中：基本支出1455.89万元，项目支出51.54万元，本单位整体支出绩效自评综合评分96分，评价结果等次为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3个，共涉及资金94.13万元，占一般公共预算项目支出总额的6.25%。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96分，评价结果等次为优。</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根据年初设定的绩效目标，绩效自评得分为96分。全年预算数为1507.43万元，执行数为1507.43万元，完成预算的100%。绩效目标完成情况：一是</w:t>
      </w:r>
      <w:r>
        <w:rPr>
          <w:rFonts w:hint="eastAsia" w:ascii="仿宋_GB2312" w:hAnsi="仿宋" w:eastAsia="仿宋_GB2312"/>
          <w:sz w:val="32"/>
          <w:szCs w:val="32"/>
          <w:lang w:eastAsia="zh-CN"/>
        </w:rPr>
        <w:t>部门年度完成</w:t>
      </w:r>
      <w:r>
        <w:rPr>
          <w:rFonts w:hint="eastAsia" w:ascii="仿宋_GB2312" w:hAnsi="仿宋" w:eastAsia="仿宋_GB2312"/>
          <w:sz w:val="32"/>
          <w:szCs w:val="32"/>
        </w:rPr>
        <w:t>一级项目和二级项目</w:t>
      </w:r>
      <w:r>
        <w:rPr>
          <w:rFonts w:hint="eastAsia" w:ascii="仿宋_GB2312" w:hAnsi="仿宋" w:eastAsia="仿宋_GB2312"/>
          <w:sz w:val="32"/>
          <w:szCs w:val="32"/>
          <w:lang w:eastAsia="zh-CN"/>
        </w:rPr>
        <w:t>的</w:t>
      </w:r>
      <w:r>
        <w:rPr>
          <w:rFonts w:hint="eastAsia" w:ascii="仿宋_GB2312" w:hAnsi="仿宋" w:eastAsia="仿宋_GB2312"/>
          <w:sz w:val="32"/>
          <w:szCs w:val="32"/>
        </w:rPr>
        <w:t>绩效目标</w:t>
      </w:r>
      <w:r>
        <w:rPr>
          <w:rFonts w:hint="eastAsia" w:ascii="仿宋_GB2312" w:hAnsi="仿宋" w:eastAsia="仿宋_GB2312"/>
          <w:sz w:val="32"/>
          <w:szCs w:val="32"/>
          <w:lang w:eastAsia="zh-CN"/>
        </w:rPr>
        <w:t>，完成产出指标的数量指标值，客运、货运业务办理完成率</w:t>
      </w:r>
      <w:r>
        <w:rPr>
          <w:rFonts w:hint="eastAsia" w:ascii="仿宋_GB2312" w:hAnsi="仿宋" w:eastAsia="仿宋_GB2312"/>
          <w:sz w:val="32"/>
          <w:szCs w:val="32"/>
          <w:lang w:val="en-US" w:eastAsia="zh-CN"/>
        </w:rPr>
        <w:t>95%；</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仿宋_GB2312" w:hAnsi="仿宋" w:eastAsia="仿宋_GB2312"/>
          <w:sz w:val="32"/>
          <w:szCs w:val="32"/>
          <w:lang w:val="en-US" w:eastAsia="zh-CN"/>
        </w:rPr>
        <w:t>完成地方铁路1450万吨货运量，完成从业人员2000人的培训；达成效益指标的经济效益，减税降费达到100万元。</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kern w:val="2"/>
          <w:sz w:val="32"/>
          <w:szCs w:val="32"/>
          <w:lang w:eastAsia="zh-CN"/>
        </w:rPr>
      </w:pPr>
      <w:r>
        <w:rPr>
          <w:rFonts w:hint="eastAsia" w:ascii="仿宋_GB2312" w:hAnsi="仿宋_GB2312" w:eastAsia="仿宋_GB2312" w:cs="仿宋_GB2312"/>
          <w:color w:val="auto"/>
          <w:sz w:val="32"/>
          <w:szCs w:val="32"/>
          <w:lang w:eastAsia="zh-CN"/>
        </w:rPr>
        <w:t>存在的</w:t>
      </w:r>
      <w:r>
        <w:rPr>
          <w:rFonts w:hint="eastAsia" w:ascii="仿宋_GB2312" w:hAnsi="仿宋_GB2312" w:eastAsia="仿宋_GB2312" w:cs="仿宋_GB2312"/>
          <w:b w:val="0"/>
          <w:bCs w:val="0"/>
          <w:color w:val="000000"/>
          <w:kern w:val="0"/>
          <w:sz w:val="32"/>
          <w:szCs w:val="32"/>
          <w:lang w:val="en-US" w:eastAsia="zh-CN" w:bidi="ar-SA"/>
        </w:rPr>
        <w:t>主要问题及原因：</w:t>
      </w:r>
      <w:r>
        <w:rPr>
          <w:rFonts w:hint="eastAsia" w:ascii="Times New Roman" w:hAnsi="Times New Roman" w:eastAsia="仿宋_GB2312"/>
          <w:kern w:val="2"/>
          <w:sz w:val="32"/>
          <w:szCs w:val="32"/>
        </w:rPr>
        <w:t>整体支出绩效目标完成较好</w:t>
      </w:r>
      <w:r>
        <w:rPr>
          <w:rFonts w:hint="eastAsia" w:ascii="Times New Roman" w:hAnsi="Times New Roman" w:eastAsia="仿宋_GB2312"/>
          <w:kern w:val="2"/>
          <w:sz w:val="32"/>
          <w:szCs w:val="32"/>
          <w:lang w:eastAsia="zh-CN"/>
        </w:rPr>
        <w:t>，各部门分工协作，发挥巨大效能。在资金分配和使用方面，基本按照年初预算执行，未超出预算支出情况，但年初预算分配还不够细致，对年内突发事件预测能力不强，导致存在部分预算科目调整情况。在资产和财务管理方面，完善了财务管理制度及内部风险控制制度，是财务管理水平得到提升，资产方面加强了资产管理，但存在部分老旧资产未核销，部分新购买资产延迟入账等问题。</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kern w:val="2"/>
          <w:sz w:val="32"/>
          <w:szCs w:val="32"/>
          <w:lang w:eastAsia="zh-CN"/>
        </w:rPr>
      </w:pPr>
      <w:r>
        <w:rPr>
          <w:rFonts w:hint="eastAsia" w:ascii="Times New Roman" w:hAnsi="Times New Roman" w:eastAsia="仿宋_GB2312" w:cs="Times New Roman"/>
          <w:sz w:val="32"/>
          <w:szCs w:val="32"/>
          <w:highlight w:val="none"/>
          <w:lang w:val="en-US" w:eastAsia="zh-CN"/>
        </w:rPr>
        <w:t>我单位将进一步加大预算编制精细度，联合各业务部门对年度财务预算编制及政府采购预算进行充分讨论，充分研究支出项目，使财务预算、政府采购预算编制更准确。进一步加大资产管理，加强资产管理人员培训，定期进行实物盘点，提高对资产管理的精度。进一步加快报账流程，与供应商密切沟通，确保今年预算今年支付，提高预算支付效率。</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both"/>
        <w:rPr>
          <w:sz w:val="72"/>
          <w:szCs w:val="72"/>
        </w:rPr>
      </w:pPr>
    </w:p>
    <w:p>
      <w:pPr>
        <w:pStyle w:val="13"/>
        <w:jc w:val="center"/>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Pr>
        <w:pStyle w:val="4"/>
      </w:pPr>
    </w:p>
    <w:p/>
    <w:p>
      <w:pPr>
        <w:pStyle w:val="8"/>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pPr>
        <w:pStyle w:val="4"/>
      </w:pPr>
      <w:bookmarkStart w:id="0" w:name="_GoBack"/>
      <w:bookmarkEnd w:id="0"/>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both"/>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NGFkMDMyYjJlMTAzMmJlNzRlMjFjYzM1ZGE5YWU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C857E7"/>
    <w:rsid w:val="08C24A73"/>
    <w:rsid w:val="12583BA5"/>
    <w:rsid w:val="13BA5B9C"/>
    <w:rsid w:val="1D97DEFF"/>
    <w:rsid w:val="1DFF72E5"/>
    <w:rsid w:val="1EFC6F07"/>
    <w:rsid w:val="1F0527A6"/>
    <w:rsid w:val="22AC03C2"/>
    <w:rsid w:val="294542E0"/>
    <w:rsid w:val="2FDF85B8"/>
    <w:rsid w:val="2FFFEE04"/>
    <w:rsid w:val="31C95635"/>
    <w:rsid w:val="34DF85B0"/>
    <w:rsid w:val="3B8F36BC"/>
    <w:rsid w:val="491FF225"/>
    <w:rsid w:val="4FFD214C"/>
    <w:rsid w:val="5352765A"/>
    <w:rsid w:val="5777D4F5"/>
    <w:rsid w:val="59DD8326"/>
    <w:rsid w:val="5DEF592A"/>
    <w:rsid w:val="5FC6BB1E"/>
    <w:rsid w:val="5FF720F1"/>
    <w:rsid w:val="67FF5C0B"/>
    <w:rsid w:val="6BAA4A2F"/>
    <w:rsid w:val="6EFC0924"/>
    <w:rsid w:val="6FB74722"/>
    <w:rsid w:val="6FEF8B7E"/>
    <w:rsid w:val="71A6591B"/>
    <w:rsid w:val="737D59BA"/>
    <w:rsid w:val="737F32B1"/>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200" w:line="276" w:lineRule="auto"/>
    </w:pPr>
    <w:rPr>
      <w:rFonts w:hint="eastAsia" w:ascii="Arial" w:hAnsi="Arial"/>
      <w:sz w:val="24"/>
      <w:szCs w:val="24"/>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autoRedefine/>
    <w:qFormat/>
    <w:uiPriority w:val="99"/>
    <w:rPr>
      <w:sz w:val="18"/>
      <w:szCs w:val="18"/>
    </w:rPr>
  </w:style>
  <w:style w:type="character" w:customStyle="1" w:styleId="12">
    <w:name w:val="页脚 Char"/>
    <w:basedOn w:val="10"/>
    <w:link w:val="6"/>
    <w:autoRedefine/>
    <w:qFormat/>
    <w:uiPriority w:val="99"/>
    <w:rPr>
      <w:sz w:val="18"/>
      <w:szCs w:val="18"/>
    </w:rPr>
  </w:style>
  <w:style w:type="paragraph" w:customStyle="1" w:styleId="13">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autoRedefine/>
    <w:qFormat/>
    <w:uiPriority w:val="34"/>
    <w:pPr>
      <w:ind w:firstLine="420" w:firstLineChars="200"/>
    </w:pPr>
  </w:style>
  <w:style w:type="character" w:customStyle="1" w:styleId="15">
    <w:name w:val="批注框文本 Char"/>
    <w:basedOn w:val="10"/>
    <w:link w:val="5"/>
    <w:autoRedefine/>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autoRedefine/>
    <w:qFormat/>
    <w:uiPriority w:val="0"/>
    <w:rPr>
      <w:rFonts w:hint="eastAsia" w:ascii="宋体" w:hAnsi="宋体" w:eastAsia="宋体" w:cs="宋体"/>
      <w:color w:val="000000"/>
      <w:sz w:val="24"/>
      <w:szCs w:val="24"/>
      <w:u w:val="none"/>
    </w:rPr>
  </w:style>
  <w:style w:type="character" w:customStyle="1" w:styleId="18">
    <w:name w:val="font11"/>
    <w:basedOn w:val="1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1347</Words>
  <Characters>7679</Characters>
  <Lines>63</Lines>
  <Paragraphs>18</Paragraphs>
  <TotalTime>1</TotalTime>
  <ScaleCrop>false</ScaleCrop>
  <LinksUpToDate>false</LinksUpToDate>
  <CharactersWithSpaces>9008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张萌</cp:lastModifiedBy>
  <cp:lastPrinted>2024-08-08T10:20:00Z</cp:lastPrinted>
  <dcterms:modified xsi:type="dcterms:W3CDTF">2024-09-14T04:07:31Z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AE4E1B7BF6634A868F16133B3D9215AD_13</vt:lpwstr>
  </property>
</Properties>
</file>