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600" w:lineRule="exact"/>
        <w:jc w:val="both"/>
        <w:rPr>
          <w:rFonts w:hint="eastAsia" w:ascii="黑体" w:hAnsi="黑体" w:eastAsia="黑体" w:cs="黑体"/>
          <w:sz w:val="32"/>
          <w:szCs w:val="32"/>
          <w:highlight w:val="none"/>
          <w:lang w:val="en-US" w:eastAsia="zh-CN"/>
        </w:rPr>
      </w:pPr>
      <w:bookmarkStart w:id="0" w:name="_GoBack"/>
      <w:bookmarkEnd w:id="0"/>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3</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8"/>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62</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55</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89%</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2</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8.08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5.38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3.54</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1.78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3.54</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1.78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4.54</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3.6</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629.6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726.06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642.66</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w:t>
            </w:r>
            <w:r>
              <w:rPr>
                <w:rFonts w:hint="eastAsia" w:ascii="仿宋_GB2312" w:hAnsi="仿宋_GB2312" w:eastAsia="仿宋_GB2312" w:cs="仿宋_GB2312"/>
                <w:sz w:val="20"/>
                <w:szCs w:val="20"/>
              </w:rPr>
              <w:t>环境监察、监测运行经费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348.83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381.06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330.18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w:t>
            </w:r>
            <w:r>
              <w:rPr>
                <w:rFonts w:hint="eastAsia" w:ascii="仿宋_GB2312" w:hAnsi="仿宋_GB2312" w:eastAsia="仿宋_GB2312" w:cs="仿宋_GB2312"/>
                <w:sz w:val="20"/>
                <w:szCs w:val="20"/>
              </w:rPr>
              <w:t>环境监测、监控及监察能力建设</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280.77</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345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312.48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118.93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157.79</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141.54</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8.6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14.49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11</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10.46</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sz w:val="20"/>
                <w:szCs w:val="20"/>
                <w:lang w:val="en-US" w:eastAsia="zh-CN"/>
              </w:rPr>
              <w:t>0.24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554（市级）</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1264.59</w:t>
            </w:r>
          </w:p>
          <w:p>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（市级668.3、县级596.29）</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eastAsia="zh-CN"/>
              </w:rPr>
              <w:t>严格实行经费支出事项事前审批制度，严格规范事后经费报销程序，严控经费开支标准。</w:t>
            </w:r>
            <w:r>
              <w:rPr>
                <w:rFonts w:hint="eastAsia" w:ascii="仿宋_GB2312" w:hAnsi="仿宋_GB2312" w:eastAsia="仿宋_GB2312" w:cs="仿宋_GB2312"/>
                <w:sz w:val="20"/>
                <w:szCs w:val="20"/>
                <w:highlight w:val="none"/>
              </w:rPr>
              <w:t>　</w:t>
            </w:r>
          </w:p>
        </w:tc>
      </w:tr>
    </w:tbl>
    <w:p>
      <w:pPr>
        <w:widowControl/>
        <w:spacing w:afterLines="0" w:line="400" w:lineRule="exact"/>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highlight w:val="none"/>
        </w:rPr>
      </w:pPr>
    </w:p>
    <w:p>
      <w:pPr>
        <w:widowControl/>
        <w:spacing w:after="0" w:afterLines="0" w:line="400" w:lineRule="exact"/>
        <w:jc w:val="left"/>
        <w:rPr>
          <w:rFonts w:hint="eastAsia" w:ascii="黑体" w:hAnsi="黑体" w:eastAsia="黑体" w:cs="黑体"/>
          <w:sz w:val="32"/>
          <w:szCs w:val="32"/>
          <w:highlight w:val="none"/>
          <w:lang w:eastAsia="zh-CN"/>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柴新</w:t>
      </w:r>
      <w:r>
        <w:rPr>
          <w:rFonts w:hint="default" w:ascii="Times New Roman" w:hAnsi="Times New Roman" w:eastAsia="仿宋_GB2312" w:cs="Times New Roman"/>
          <w:sz w:val="22"/>
          <w:highlight w:val="none"/>
        </w:rPr>
        <w:t xml:space="preserve">   填报日期：</w:t>
      </w:r>
      <w:r>
        <w:rPr>
          <w:rFonts w:hint="eastAsia" w:ascii="Times New Roman" w:hAnsi="Times New Roman" w:eastAsia="仿宋_GB2312" w:cs="Times New Roman"/>
          <w:sz w:val="22"/>
          <w:szCs w:val="22"/>
          <w:highlight w:val="none"/>
          <w:lang w:val="en-US" w:eastAsia="zh-CN"/>
        </w:rPr>
        <w:t>2024.4.10</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highlight w:val="none"/>
          <w:lang w:val="en-US" w:eastAsia="zh-CN"/>
        </w:rPr>
        <w:t>13762786008</w:t>
      </w:r>
      <w:r>
        <w:rPr>
          <w:rFonts w:hint="default" w:ascii="Times New Roman" w:hAnsi="Times New Roman" w:eastAsia="仿宋_GB2312" w:cs="Times New Roman"/>
          <w:sz w:val="22"/>
          <w:highlight w:val="none"/>
        </w:rPr>
        <w:t xml:space="preserve">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8"/>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岳阳市生态环境局华容分局</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1653.77</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5328.41</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5328.41</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1790.06</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1058</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政府性基金拨款：</w:t>
            </w:r>
            <w:r>
              <w:rPr>
                <w:rFonts w:hint="eastAsia" w:ascii="仿宋_GB2312" w:hAnsi="仿宋_GB2312" w:eastAsia="仿宋_GB2312" w:cs="仿宋_GB2312"/>
                <w:color w:val="000000"/>
                <w:sz w:val="20"/>
                <w:szCs w:val="20"/>
                <w:highlight w:val="none"/>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4270.41</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纳入专户管理的非税收入拨款：</w:t>
            </w:r>
            <w:r>
              <w:rPr>
                <w:rFonts w:hint="eastAsia" w:ascii="仿宋_GB2312" w:hAnsi="仿宋_GB2312" w:eastAsia="仿宋_GB2312" w:cs="仿宋_GB2312"/>
                <w:color w:val="000000"/>
                <w:sz w:val="20"/>
                <w:szCs w:val="20"/>
                <w:highlight w:val="none"/>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3538.35</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认真贯彻落实党的二十大和生态文明思想，以“降碳、减污、扩绿、增长”为宗旨，以污染防治工作为中心，坚持山水林田湖草沙一体化保护和系统治理，持续推进生态环境保护项目建设，改善大气生态环境、水生态环境等。统筹产业结构调整、生态保护、应对气候变化，推进生态优先、节约集约、绿色低碳发展。</w:t>
            </w:r>
          </w:p>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持续抓好大气污染联防联控，加强重点行业、企业大气污染防治，深入推进重污染天气应对、秸秆焚烧、工地扬尘、餐饮油烟、机动车等污染治理。</w:t>
            </w:r>
          </w:p>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开展五水同治，针对华容河、东湖、洞庭湖、长江、藕池河水质，标本兼治、综合施策、系统治理,全面巩固和提升水环境治理成效。</w:t>
            </w:r>
          </w:p>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加强农业面源污染治理，严格控制有毒有害化学药品和肥料的使用，加强土壤污染源头防控；加强土壤污染治理项目、固体废物、尾矿库等监管。提升环境基础设施建设水平，推进城乡人居环境整治。土壤环境质量保持稳定，农用地、建设用地和饮用水水源地周边土壤环境安全得到基本保障。</w:t>
            </w:r>
          </w:p>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坚持突出环境问题及信访问题整改，信访答复及时、立行立改及时，并加强与群众沟通交流，切实增强群众获得感和幸福感。</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污染防治为中心，以“夏季攻势”、“洞庭清波”任务和空气、水环境质量改善为重点，持续抓好突出生态环境问题整改。</w:t>
            </w:r>
            <w:r>
              <w:rPr>
                <w:rFonts w:hint="eastAsia" w:ascii="仿宋_GB2312" w:hAnsi="仿宋_GB2312" w:eastAsia="仿宋_GB2312" w:cs="仿宋_GB2312"/>
                <w:color w:val="000000"/>
                <w:sz w:val="20"/>
                <w:szCs w:val="20"/>
                <w:highlight w:val="none"/>
              </w:rPr>
              <w:t>　</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2023年，</w:t>
            </w:r>
            <w:r>
              <w:rPr>
                <w:rFonts w:hint="eastAsia" w:ascii="仿宋_GB2312" w:hAnsi="仿宋_GB2312" w:eastAsia="仿宋_GB2312" w:cs="仿宋_GB2312"/>
                <w:color w:val="000000"/>
                <w:sz w:val="20"/>
                <w:szCs w:val="20"/>
                <w:highlight w:val="none"/>
                <w:lang w:eastAsia="zh-CN"/>
              </w:rPr>
              <w:t>全县</w:t>
            </w:r>
            <w:r>
              <w:rPr>
                <w:rFonts w:hint="eastAsia" w:ascii="仿宋_GB2312" w:hAnsi="仿宋_GB2312" w:eastAsia="仿宋_GB2312" w:cs="仿宋_GB2312"/>
                <w:color w:val="000000"/>
                <w:sz w:val="20"/>
                <w:szCs w:val="20"/>
                <w:highlight w:val="none"/>
              </w:rPr>
              <w:t>各相关部门就大气污染防治工作开展联防联控，合力推进了控排、控尘等“六控”工作，</w:t>
            </w:r>
            <w:r>
              <w:rPr>
                <w:rFonts w:hint="eastAsia" w:ascii="仿宋_GB2312" w:hAnsi="仿宋_GB2312" w:eastAsia="仿宋_GB2312" w:cs="仿宋_GB2312"/>
                <w:color w:val="000000"/>
                <w:sz w:val="20"/>
                <w:szCs w:val="20"/>
                <w:highlight w:val="none"/>
                <w:lang w:eastAsia="zh-CN"/>
              </w:rPr>
              <w:t>空气质量得到有效改善</w:t>
            </w:r>
            <w:r>
              <w:rPr>
                <w:rFonts w:hint="eastAsia" w:ascii="仿宋_GB2312" w:hAnsi="仿宋_GB2312" w:eastAsia="仿宋_GB2312" w:cs="仿宋_GB2312"/>
                <w:color w:val="000000"/>
                <w:sz w:val="20"/>
                <w:szCs w:val="20"/>
                <w:highlight w:val="none"/>
              </w:rPr>
              <w:t>。空气数据指标基本达到全市污染防治攻坚战月考核标准。1-12月，东湖年均值达到IV类水质，其余断面水质均能达到III类。长江天字一号断面水质优良率为100%，全部达到Ⅱ类水质;所有断面达到全市年均考核标准。“夏季攻势”：共43项任务，截至年底已全部完成整治销号。其中，列入夏季攻势任务的21个农村千人以上饮用水水源地整治任务成功入选为县级二十佳典型案例，被省生态环境厅通报表扬。“洞庭清波”：共17项任务，截至目前已完成销号13个，圆满完成年度整治任务；余下4个按时序要求将在2025年12月31日前完成销号。警示片：2023年省级警示片涉及华容问题有1个，已完成整改销号；市级第一期警示片问题涉及华容问题1个，已完成整改销号；市级第二期和第三期警示片涉及华容问题均为2个，均已完成整改销号。长江干渠水生态修复项目已完工；东湖清洁小流域项目土建工程已完成90%，2023年度农村环境整治任务中已完成新河乡徐家岭村、鲇鱼须镇麦地村等7个重点任务村农村生活污水治理及4条农村黑臭水体治理</w:t>
            </w:r>
            <w:r>
              <w:rPr>
                <w:rFonts w:hint="eastAsia" w:ascii="仿宋_GB2312" w:hAnsi="仿宋_GB2312" w:eastAsia="仿宋_GB2312" w:cs="仿宋_GB2312"/>
                <w:color w:val="000000"/>
                <w:sz w:val="20"/>
                <w:szCs w:val="20"/>
                <w:highlight w:val="none"/>
                <w:lang w:eastAsia="zh-CN"/>
              </w:rPr>
              <w:t>。</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编制相关可研报告、政策建议等。</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≧30份</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≧30份</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环境保护政策、法规、规划及标准宣传报道、组织宣传活动、宣传材料制作。</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≧30次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≧30次</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各项环保专项督查行动，打击违法行为。</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≧100次</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对县域内生态环境治理。</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水环境、大气环境、土壤环境三大区域的修复治理</w:t>
            </w: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全指标监测。</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委托第三方服务</w:t>
            </w:r>
            <w:r>
              <w:rPr>
                <w:rFonts w:hint="eastAsia" w:ascii="仿宋_GB2312" w:hAnsi="仿宋_GB2312" w:eastAsia="仿宋_GB2312" w:cs="仿宋_GB2312"/>
                <w:color w:val="000000"/>
                <w:sz w:val="20"/>
                <w:szCs w:val="20"/>
                <w:highlight w:val="none"/>
              </w:rPr>
              <w:t>　</w:t>
            </w:r>
          </w:p>
        </w:tc>
        <w:tc>
          <w:tcPr>
            <w:tcW w:w="126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年度实施计划按时完成率</w:t>
            </w:r>
            <w:r>
              <w:rPr>
                <w:rFonts w:hint="eastAsia" w:ascii="仿宋_GB2312" w:hAnsi="仿宋_GB2312" w:eastAsia="仿宋_GB2312" w:cs="仿宋_GB2312"/>
                <w:color w:val="000000"/>
                <w:sz w:val="20"/>
                <w:szCs w:val="20"/>
                <w:highlight w:val="none"/>
                <w:lang w:eastAsia="zh-CN"/>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验收通过率</w:t>
            </w:r>
            <w:r>
              <w:rPr>
                <w:rFonts w:hint="eastAsia" w:ascii="仿宋_GB2312" w:hAnsi="仿宋_GB2312" w:eastAsia="仿宋_GB2312" w:cs="仿宋_GB2312"/>
                <w:color w:val="000000"/>
                <w:sz w:val="20"/>
                <w:szCs w:val="20"/>
                <w:highlight w:val="none"/>
                <w:lang w:eastAsia="zh-CN"/>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环境质量提高。</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效果显著</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有所提高</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2023年任务目标按时完成率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26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w:t>
            </w:r>
            <w:r>
              <w:rPr>
                <w:rFonts w:hint="default" w:ascii="仿宋_GB2312" w:hAnsi="仿宋_GB2312" w:eastAsia="仿宋_GB2312" w:cs="仿宋_GB2312"/>
                <w:color w:val="000000"/>
                <w:sz w:val="20"/>
                <w:szCs w:val="20"/>
                <w:lang w:val="en-US" w:eastAsia="zh-CN"/>
              </w:rPr>
              <w:t>95%</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支出控制在预算内</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工作经费和专项治理经费按要求控制在2023年预算内</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控制在预算内</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实现大力降碳、强力减污、全力扩绿、聚力增长。</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地表水质优良率稳定在95%左右，华容河水质持续好转；县级以上饮用水源地水质保持100%达标。</w:t>
            </w:r>
          </w:p>
        </w:tc>
        <w:tc>
          <w:tcPr>
            <w:tcW w:w="126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实现节能减排。</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PM2.5年均浓度持续降至30微克/立方米以下，PM10年平均浓度达到40μg/m3以下；城区环境空气质量优良率达到90%以上；大气主要污染物二氧化硫、氮氧化物排放总量较2022年分别下降2%以上。</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公众生态环境意识，提高公众认知的作用。</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有效提高</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1.5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偏差原因：环保宣传覆盖面不够全面。</w:t>
            </w:r>
          </w:p>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改进措施：扩大环保宣传覆盖面。</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提高队伍执法能力。</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有效提高</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有效提高</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环保公益活动参与度。</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有效提高</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有效提高</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确保区域内生态环境安全，减少污染事件发生。</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有效</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促进区域内生态环境健康发展。</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显著</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显著</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通过督查推动环境质量改善。</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有所改善</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重点污染源排放量。</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减少</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减少</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长期及时准确的预报环境质量、监控污染源、减轻环境污染的影响。</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中长期</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营造全社会广泛参与生态环境保护事业的浓厚氛围。</w:t>
            </w:r>
          </w:p>
        </w:tc>
        <w:tc>
          <w:tcPr>
            <w:tcW w:w="1311"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中长期</w:t>
            </w:r>
          </w:p>
        </w:tc>
        <w:tc>
          <w:tcPr>
            <w:tcW w:w="126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4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通过建立规范预决算管理和绩效评价管理机制，实现资金可持续规范化管理。</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中长期</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人民群众满意度、社会舆论满意度。</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≧93%</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4</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3</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偏差原因：社会群众对环保的认识与要求都显著提高。</w:t>
            </w:r>
          </w:p>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改进措施：加强环保治理与宣传，提高社会群众满意度。</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上级部门对工作的认同度。</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4</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投诉率。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较往年下降20%</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较往年下降20%</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widowControl/>
        <w:spacing w:line="600" w:lineRule="exact"/>
        <w:jc w:val="left"/>
        <w:rPr>
          <w:rFonts w:hint="eastAsia" w:ascii="Times New Roman" w:hAnsi="Times New Roman" w:eastAsia="黑体" w:cs="Times New Roman"/>
          <w:sz w:val="32"/>
          <w:szCs w:val="32"/>
          <w:highlight w:val="none"/>
          <w:lang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eastAsia="zh-CN"/>
        </w:rPr>
        <w:t>柴新</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2024.4.10</w:t>
      </w:r>
      <w:r>
        <w:rPr>
          <w:rFonts w:hint="default" w:ascii="Times New Roman" w:hAnsi="Times New Roman" w:eastAsia="仿宋_GB2312" w:cs="Times New Roman"/>
          <w:sz w:val="22"/>
          <w:szCs w:val="22"/>
          <w:highlight w:val="none"/>
        </w:rPr>
        <w:t xml:space="preserve">  联系电话：</w:t>
      </w:r>
      <w:r>
        <w:rPr>
          <w:rFonts w:hint="eastAsia" w:ascii="Times New Roman" w:hAnsi="Times New Roman" w:eastAsia="仿宋_GB2312" w:cs="Times New Roman"/>
          <w:sz w:val="22"/>
          <w:szCs w:val="22"/>
          <w:highlight w:val="none"/>
          <w:lang w:val="en-US" w:eastAsia="zh-CN"/>
        </w:rPr>
        <w:t xml:space="preserve">13762786008    </w:t>
      </w:r>
      <w:r>
        <w:rPr>
          <w:rFonts w:hint="default" w:ascii="Times New Roman" w:hAnsi="Times New Roman" w:eastAsia="仿宋_GB2312" w:cs="Times New Roman"/>
          <w:sz w:val="22"/>
          <w:szCs w:val="22"/>
          <w:highlight w:val="none"/>
        </w:rPr>
        <w:t>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环境监察、监测运行经费</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岳阳市生态环境局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岳阳市生态环境局华容分局</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381.06</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381.06</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330.18</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86.65%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381.06</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381.06</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330.18</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打好污染防治攻坚战、持续推进“洞庭清波”、突出环境问题整改销号等。2.持续开展水环境质量、生态及农村环境质量、环境空气质量、声环境质量、污染源的监测及环境质量报告的编制。3.执法能力建设设备购置。严格执法监管，防范化解环境风险隐患，严厉打击环境违法行为。4.重金属污染区域治理。5.做好信息化平台运维、环保宣教、日常办公等工作。</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“夏季攻势”</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共43项任务，截至年底已全部完成整治销号。其中，列入夏季攻势任务的21个农村千人以上饮用水水源地整治任务成功入选为县级二十佳典型案例，被省生态环境厅通报表扬。“洞庭清波”</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共17项任务，截至目前已完成销号13个，圆满完成年度整治任务；余下4个按时序要求将在2025年12月31日前完成销号。警示片：2023年省级警示片涉及华容问题有1个，已完成整改销号；市级第一期警示片问题涉及华容问题1个，已完成整改销号；市级第二期和第三期警示片涉及华容问题均为2个，均已完成整改销号。</w:t>
            </w:r>
            <w:r>
              <w:rPr>
                <w:rFonts w:hint="eastAsia" w:ascii="仿宋_GB2312" w:hAnsi="仿宋_GB2312" w:eastAsia="仿宋_GB2312" w:cs="仿宋_GB2312"/>
                <w:color w:val="000000"/>
                <w:sz w:val="20"/>
                <w:szCs w:val="20"/>
                <w:highlight w:val="none"/>
                <w:lang w:eastAsia="zh-CN"/>
              </w:rPr>
              <w:t>严格对涉气涉水等企业执法监管，严厉打击了环境违法行为。各项环境质量监测任务圆满完成。开展了对饮用水源、河流、湖泊常规监测、县城环境空气质量监测、噪声监测、农村生态监测，整体做到了监测布点合理、实验操作规范、数据真实可靠、上报数据及时。</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开展重点污染源单位现场抽查。</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≧100次</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≧100次</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各项环保专项督查行动，打击违法行为。</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≧100次</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≧100次</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对县域内生态环境治理。</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水源地保护、排渍口整治、大气环境质量管控改善、开展五水同治，针对华容河、东湖、洞庭湖、长江、藕池河水质，标本兼治、综合施策、系统治理,全面巩固和提升水环境治理成效。</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全指标监测。</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水环境指标109项、空气指标7项、土壤环境指标8项。</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年度实施计划按时完成率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default" w:ascii="仿宋_GB2312" w:hAnsi="仿宋_GB2312" w:eastAsia="仿宋_GB2312" w:cs="仿宋_GB2312"/>
                <w:color w:val="000000"/>
                <w:sz w:val="20"/>
                <w:szCs w:val="20"/>
                <w:lang w:val="en-US" w:eastAsia="zh-CN"/>
              </w:rPr>
              <w:t>≧</w:t>
            </w:r>
            <w:r>
              <w:rPr>
                <w:rFonts w:hint="eastAsia" w:ascii="仿宋_GB2312" w:hAnsi="仿宋_GB2312" w:eastAsia="仿宋_GB2312" w:cs="仿宋_GB2312"/>
                <w:color w:val="000000"/>
                <w:sz w:val="20"/>
                <w:szCs w:val="20"/>
                <w:lang w:val="en-US" w:eastAsia="zh-CN"/>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default" w:ascii="仿宋_GB2312" w:hAnsi="仿宋_GB2312" w:eastAsia="仿宋_GB2312" w:cs="仿宋_GB2312"/>
                <w:color w:val="000000"/>
                <w:sz w:val="20"/>
                <w:szCs w:val="20"/>
                <w:lang w:val="en-US" w:eastAsia="zh-CN"/>
              </w:rPr>
              <w:t>≧</w:t>
            </w:r>
            <w:r>
              <w:rPr>
                <w:rFonts w:hint="eastAsia" w:ascii="仿宋_GB2312" w:hAnsi="仿宋_GB2312" w:eastAsia="仿宋_GB2312" w:cs="仿宋_GB2312"/>
                <w:color w:val="000000"/>
                <w:sz w:val="20"/>
                <w:szCs w:val="20"/>
                <w:lang w:val="en-US" w:eastAsia="zh-CN"/>
              </w:rPr>
              <w:t>95%</w:t>
            </w:r>
          </w:p>
        </w:tc>
        <w:tc>
          <w:tcPr>
            <w:tcW w:w="828"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验收通过率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default" w:ascii="仿宋_GB2312" w:hAnsi="仿宋_GB2312" w:eastAsia="仿宋_GB2312" w:cs="仿宋_GB2312"/>
                <w:color w:val="000000"/>
                <w:sz w:val="20"/>
                <w:szCs w:val="20"/>
                <w:lang w:val="en-US" w:eastAsia="zh-CN"/>
              </w:rPr>
              <w:t>≧</w:t>
            </w:r>
            <w:r>
              <w:rPr>
                <w:rFonts w:hint="eastAsia" w:ascii="仿宋_GB2312" w:hAnsi="仿宋_GB2312" w:eastAsia="仿宋_GB2312" w:cs="仿宋_GB2312"/>
                <w:color w:val="000000"/>
                <w:sz w:val="20"/>
                <w:szCs w:val="20"/>
                <w:lang w:val="en-US" w:eastAsia="zh-CN"/>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default" w:ascii="仿宋_GB2312" w:hAnsi="仿宋_GB2312" w:eastAsia="仿宋_GB2312" w:cs="仿宋_GB2312"/>
                <w:color w:val="000000"/>
                <w:sz w:val="20"/>
                <w:szCs w:val="20"/>
                <w:lang w:val="en-US" w:eastAsia="zh-CN"/>
              </w:rPr>
              <w:t>≧</w:t>
            </w:r>
            <w:r>
              <w:rPr>
                <w:rFonts w:hint="eastAsia" w:ascii="仿宋_GB2312" w:hAnsi="仿宋_GB2312" w:eastAsia="仿宋_GB2312" w:cs="仿宋_GB2312"/>
                <w:color w:val="000000"/>
                <w:sz w:val="20"/>
                <w:szCs w:val="20"/>
                <w:lang w:val="en-US" w:eastAsia="zh-CN"/>
              </w:rPr>
              <w:t>95%</w:t>
            </w:r>
          </w:p>
        </w:tc>
        <w:tc>
          <w:tcPr>
            <w:tcW w:w="828"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环境质量提高</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default" w:ascii="仿宋_GB2312" w:hAnsi="仿宋_GB2312" w:eastAsia="仿宋_GB2312" w:cs="仿宋_GB2312"/>
                <w:color w:val="000000"/>
                <w:sz w:val="20"/>
                <w:szCs w:val="20"/>
                <w:lang w:val="en-US" w:eastAsia="zh-CN"/>
              </w:rPr>
              <w:t>效果显著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default" w:ascii="仿宋_GB2312" w:hAnsi="仿宋_GB2312" w:eastAsia="仿宋_GB2312" w:cs="仿宋_GB2312"/>
                <w:color w:val="000000"/>
                <w:sz w:val="20"/>
                <w:szCs w:val="20"/>
                <w:lang w:val="en-US" w:eastAsia="zh-CN"/>
              </w:rPr>
              <w:t>效果显著</w:t>
            </w:r>
          </w:p>
        </w:tc>
        <w:tc>
          <w:tcPr>
            <w:tcW w:w="828"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年底前按时完成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已完成</w:t>
            </w:r>
          </w:p>
        </w:tc>
        <w:tc>
          <w:tcPr>
            <w:tcW w:w="828"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支出控制在预算内</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工作经费和专项治理经费按要求控制在2023年预算内</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控制在预算内</w:t>
            </w:r>
          </w:p>
        </w:tc>
        <w:tc>
          <w:tcPr>
            <w:tcW w:w="828"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实现大力降碳、强力减污、全力扩绿、聚力增长。</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地表水质优良率稳定在95%左右，华容河水质持续好转；县级以上饮用水源地水质保持100%达标。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实现节能减排。</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PM2.5年均浓度持续降至30微克/立方米以下，PM10年平均浓度达到40μg/m3以下；城区环境空气质量优良率达到90%以上；大气主要污染物二氧化硫、氮氧化物排放总量较2022年分别下降2%以上。</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公众生态环境意识、环保公益活动参与、队伍执法能力</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提高公众环保意识及环保公益活动参与度，提高队伍执法能力</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有效提高</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确保区域内生态环境安全，减少污染事件发生</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有效</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有效</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促进区域内生态环境健康发展</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显著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显著</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通过督查推动环境质量改善</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重点污染源排放量</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减少</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减少</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长期及时准确的预报环境质量、监控污染源、减轻环境污染的影响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营造全社会广泛参与生态环境保护事业的浓厚氛围</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1.5</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1.5</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通过建立规范预决算管理和绩效评价管理机制，实现资金可持续规范化管理</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人民群众满意度、社会舆论满意度</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eastAsia="zh-CN"/>
        </w:rPr>
        <w:t>柴新</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highlight w:val="none"/>
          <w:lang w:val="en-US" w:eastAsia="zh-CN"/>
        </w:rPr>
        <w:t xml:space="preserve">2024.4.10  </w:t>
      </w:r>
      <w:r>
        <w:rPr>
          <w:rFonts w:hint="default" w:ascii="Times New Roman" w:hAnsi="Times New Roman" w:eastAsia="仿宋_GB2312" w:cs="Times New Roman"/>
          <w:sz w:val="22"/>
          <w:szCs w:val="22"/>
          <w:highlight w:val="none"/>
        </w:rPr>
        <w:t>联系电话：</w:t>
      </w:r>
      <w:r>
        <w:rPr>
          <w:rFonts w:hint="eastAsia" w:ascii="Times New Roman" w:hAnsi="Times New Roman" w:eastAsia="仿宋_GB2312" w:cs="Times New Roman"/>
          <w:sz w:val="22"/>
          <w:szCs w:val="22"/>
          <w:highlight w:val="none"/>
          <w:lang w:val="en-US" w:eastAsia="zh-CN"/>
        </w:rPr>
        <w:t xml:space="preserve">13762786008  </w:t>
      </w:r>
      <w:r>
        <w:rPr>
          <w:rFonts w:hint="default" w:ascii="Times New Roman" w:hAnsi="Times New Roman" w:eastAsia="仿宋_GB2312" w:cs="Times New Roman"/>
          <w:sz w:val="22"/>
          <w:szCs w:val="22"/>
          <w:highlight w:val="none"/>
        </w:rPr>
        <w:t xml:space="preserve"> 单位负责人签字：</w:t>
      </w:r>
      <w:r>
        <w:rPr>
          <w:rFonts w:hint="default" w:ascii="Times New Roman" w:hAnsi="Times New Roman" w:eastAsia="仿宋_GB2312" w:cs="Times New Roman"/>
          <w:sz w:val="22"/>
          <w:szCs w:val="22"/>
          <w:highlight w:val="none"/>
        </w:rPr>
        <w:br w:type="page"/>
      </w:r>
    </w:p>
    <w:p>
      <w:pPr>
        <w:widowControl/>
        <w:spacing w:line="600" w:lineRule="exact"/>
        <w:jc w:val="left"/>
        <w:rPr>
          <w:rFonts w:hint="eastAsia" w:ascii="Times New Roman" w:hAnsi="Times New Roman" w:eastAsia="黑体" w:cs="Times New Roman"/>
          <w:sz w:val="32"/>
          <w:szCs w:val="32"/>
          <w:highlight w:val="none"/>
          <w:lang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环境监测、监控及监察能力建设</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岳阳市生态环境局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岳阳市生态环境局华容分局</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345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345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312.48</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90.57%</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345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345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312.48</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完成“千人以上”、“千吨万人”饮用水划分、评估及监测工作。2.华容河流域水环境综合治理工程、东湖小流域综合治理工程等项目申报及建设。3.监测能力提升，空气质量管控及改善。4.农村人居环境整治及黑臭水体整治。5.实验室危化品仓库改造及设备更新。</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21个农村千人以上饮用水水源地整治任务</w:t>
            </w:r>
            <w:r>
              <w:rPr>
                <w:rFonts w:hint="eastAsia" w:ascii="仿宋_GB2312" w:hAnsi="仿宋_GB2312" w:eastAsia="仿宋_GB2312" w:cs="仿宋_GB2312"/>
                <w:color w:val="000000"/>
                <w:sz w:val="20"/>
                <w:szCs w:val="20"/>
                <w:highlight w:val="none"/>
                <w:lang w:eastAsia="zh-CN"/>
              </w:rPr>
              <w:t>已完成，并</w:t>
            </w:r>
            <w:r>
              <w:rPr>
                <w:rFonts w:hint="eastAsia" w:ascii="仿宋_GB2312" w:hAnsi="仿宋_GB2312" w:eastAsia="仿宋_GB2312" w:cs="仿宋_GB2312"/>
                <w:color w:val="000000"/>
                <w:sz w:val="20"/>
                <w:szCs w:val="20"/>
                <w:highlight w:val="none"/>
              </w:rPr>
              <w:t>成功入选为县级二十佳典型案例，被省生态环境厅通报表扬。东湖清洁小流域项目土建工程已完成90%，</w:t>
            </w:r>
            <w:r>
              <w:rPr>
                <w:rFonts w:hint="eastAsia" w:ascii="仿宋_GB2312" w:hAnsi="仿宋_GB2312" w:eastAsia="仿宋_GB2312" w:cs="仿宋_GB2312"/>
                <w:color w:val="000000"/>
                <w:sz w:val="20"/>
                <w:szCs w:val="20"/>
                <w:highlight w:val="none"/>
                <w:lang w:eastAsia="zh-CN"/>
              </w:rPr>
              <w:t>积极申报了</w:t>
            </w:r>
            <w:r>
              <w:rPr>
                <w:rFonts w:hint="eastAsia" w:ascii="仿宋_GB2312" w:hAnsi="仿宋_GB2312" w:eastAsia="仿宋_GB2312" w:cs="仿宋_GB2312"/>
                <w:color w:val="000000"/>
                <w:sz w:val="20"/>
                <w:szCs w:val="20"/>
                <w:highlight w:val="none"/>
              </w:rPr>
              <w:t>华容河流域水环境综合治理工程</w:t>
            </w:r>
            <w:r>
              <w:rPr>
                <w:rFonts w:hint="eastAsia" w:ascii="仿宋_GB2312" w:hAnsi="仿宋_GB2312" w:eastAsia="仿宋_GB2312" w:cs="仿宋_GB2312"/>
                <w:color w:val="000000"/>
                <w:sz w:val="20"/>
                <w:szCs w:val="20"/>
                <w:highlight w:val="none"/>
                <w:lang w:eastAsia="zh-CN"/>
              </w:rPr>
              <w:t>，监测站实验室改造项目已完成，设备也已更新，监测能力得到有效提升。</w:t>
            </w:r>
            <w:r>
              <w:rPr>
                <w:rFonts w:hint="eastAsia" w:ascii="仿宋_GB2312" w:hAnsi="仿宋_GB2312" w:eastAsia="仿宋_GB2312" w:cs="仿宋_GB2312"/>
                <w:color w:val="000000"/>
                <w:sz w:val="20"/>
                <w:szCs w:val="20"/>
                <w:highlight w:val="none"/>
                <w:lang w:val="en-US" w:eastAsia="zh-CN"/>
              </w:rPr>
              <w:t>2023年各相关部门联合开展控烧、控尘等“六控”行动，全年空气质量基本达到全市月考核标准。</w:t>
            </w:r>
            <w:r>
              <w:rPr>
                <w:rFonts w:hint="eastAsia" w:ascii="仿宋_GB2312" w:hAnsi="仿宋_GB2312" w:eastAsia="仿宋_GB2312" w:cs="仿宋_GB2312"/>
                <w:color w:val="000000"/>
                <w:sz w:val="20"/>
                <w:szCs w:val="20"/>
                <w:highlight w:val="none"/>
              </w:rPr>
              <w:t>2023年度农村环境整治任务中已完成新河乡徐家岭村、鲇鱼须镇麦地村等7个重点任务村农村生活污水治理及4条农村黑臭水体治理</w:t>
            </w:r>
            <w:r>
              <w:rPr>
                <w:rFonts w:hint="eastAsia" w:ascii="仿宋_GB2312" w:hAnsi="仿宋_GB2312" w:eastAsia="仿宋_GB2312" w:cs="仿宋_GB2312"/>
                <w:color w:val="000000"/>
                <w:sz w:val="20"/>
                <w:szCs w:val="20"/>
                <w:highlight w:val="none"/>
                <w:lang w:eastAsia="zh-CN"/>
              </w:rPr>
              <w:t>。</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编制相关可研报告、政策建议等。</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≧30份</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≧30份</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环境保护政策、法规、规划及标准宣传报道、组织宣传活动、宣传材料制作。</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≧30次</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≧30次</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提升监测能力。</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全指标监测及更新设备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年度实施计划按时完成率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验收通过率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环境质量提高</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效果显著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效果显著</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年底前按时完成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按时完成</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已完成</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支出控制在预算内</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工作经费和专项治理经费按要求控制在2023年预算内</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控制在预算内</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7.5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实现大力降碳、强力减污、全力扩绿、聚力增长。</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地表水质优良率稳定在95%左右，华容河水质持续好转；县级以上饮用水源地水质保持100%达标。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实现节能减排。</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PM2.5年均浓度持续降至30微克/立方米以下，PM10年平均浓度达到40μg/m3以下；城区环境空气质量优良率达到90%以上；大气主要污染物二氧化硫、氮氧化物排放总量较2022年分别下降2%以上。</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公众生态环境意识、环保公益活动参与、队伍执法能力</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提高公众环保意识及环保公益活动参与度，提高队伍执法能力</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有效提高</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确保区域内生态环境安全，减少污染事件发生</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有效</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有效</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促进区域内生态环境健康发展</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显著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显著</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通过督查推动环境质量改善</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有所改善</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重点污染源排放量</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减少</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减少</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长期及时准确的预报环境质量、监控污染源、减轻环境污染的影响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营造全社会广泛参与生态环境保护事业的浓厚氛围</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通过建立规范预决算管理和绩效评价管理机制，实现资金可持续规范化管理</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中长期</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人民群众满意度、社会舆论满意度</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eastAsia" w:ascii="黑体" w:hAnsi="黑体" w:eastAsia="黑体" w:cs="黑体"/>
          <w:sz w:val="32"/>
          <w:szCs w:val="32"/>
          <w:highlight w:val="none"/>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eastAsia="zh-CN"/>
        </w:rPr>
        <w:t>柴新</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highlight w:val="none"/>
          <w:lang w:val="en-US" w:eastAsia="zh-CN"/>
        </w:rPr>
        <w:t xml:space="preserve">2024.4.10   </w:t>
      </w:r>
      <w:r>
        <w:rPr>
          <w:rFonts w:hint="default" w:ascii="Times New Roman" w:hAnsi="Times New Roman" w:eastAsia="仿宋_GB2312" w:cs="Times New Roman"/>
          <w:sz w:val="22"/>
          <w:szCs w:val="22"/>
          <w:highlight w:val="none"/>
        </w:rPr>
        <w:t>联系电话：</w:t>
      </w:r>
      <w:r>
        <w:rPr>
          <w:rFonts w:hint="eastAsia" w:ascii="Times New Roman" w:hAnsi="Times New Roman" w:eastAsia="仿宋_GB2312" w:cs="Times New Roman"/>
          <w:sz w:val="22"/>
          <w:szCs w:val="22"/>
          <w:highlight w:val="none"/>
          <w:lang w:val="en-US" w:eastAsia="zh-CN"/>
        </w:rPr>
        <w:t xml:space="preserve">13762786008  </w:t>
      </w:r>
      <w:r>
        <w:rPr>
          <w:rFonts w:hint="default" w:ascii="Times New Roman" w:hAnsi="Times New Roman" w:eastAsia="仿宋_GB2312" w:cs="Times New Roman"/>
          <w:sz w:val="22"/>
          <w:szCs w:val="22"/>
          <w:highlight w:val="none"/>
        </w:rPr>
        <w:t xml:space="preserve"> 单位负责人签字：</w:t>
      </w:r>
      <w:r>
        <w:rPr>
          <w:rFonts w:hint="default" w:ascii="Times New Roman" w:hAnsi="Times New Roman" w:eastAsia="仿宋_GB2312" w:cs="Times New Roman"/>
          <w:sz w:val="22"/>
          <w:szCs w:val="22"/>
          <w:highlight w:val="none"/>
        </w:rPr>
        <w:br w:type="page"/>
      </w:r>
    </w:p>
    <w:p>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pPr>
        <w:jc w:val="center"/>
        <w:rPr>
          <w:rFonts w:hint="default" w:ascii="Times New Roman" w:hAnsi="Times New Roman" w:eastAsia="方正小标宋_GBK" w:cs="Times New Roman"/>
          <w:sz w:val="52"/>
          <w:szCs w:val="52"/>
          <w:highlight w:val="none"/>
        </w:rPr>
      </w:pPr>
    </w:p>
    <w:p>
      <w:pPr>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岳阳市生态环境局华容分局</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部门（单位）整体支出</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lang w:val="en-US" w:eastAsia="zh-CN"/>
        </w:rPr>
        <w:t>2024</w:t>
      </w:r>
      <w:r>
        <w:rPr>
          <w:rFonts w:hint="default" w:ascii="Times New Roman" w:hAnsi="Times New Roman" w:eastAsia="楷体_GB2312" w:cs="Times New Roman"/>
          <w:sz w:val="32"/>
          <w:szCs w:val="32"/>
          <w:highlight w:val="none"/>
        </w:rPr>
        <w:t>年</w:t>
      </w:r>
      <w:r>
        <w:rPr>
          <w:rFonts w:hint="eastAsia" w:ascii="Times New Roman" w:hAnsi="Times New Roman" w:eastAsia="楷体_GB2312" w:cs="Times New Roman"/>
          <w:sz w:val="32"/>
          <w:szCs w:val="32"/>
          <w:highlight w:val="none"/>
          <w:lang w:val="en-US" w:eastAsia="zh-CN"/>
        </w:rPr>
        <w:t>4</w:t>
      </w:r>
      <w:r>
        <w:rPr>
          <w:rFonts w:hint="default" w:ascii="Times New Roman" w:hAnsi="Times New Roman" w:eastAsia="楷体_GB2312" w:cs="Times New Roman"/>
          <w:sz w:val="32"/>
          <w:szCs w:val="32"/>
          <w:highlight w:val="none"/>
        </w:rPr>
        <w:t>月</w:t>
      </w:r>
      <w:r>
        <w:rPr>
          <w:rFonts w:hint="eastAsia" w:ascii="Times New Roman" w:hAnsi="Times New Roman" w:eastAsia="楷体_GB2312" w:cs="Times New Roman"/>
          <w:sz w:val="32"/>
          <w:szCs w:val="32"/>
          <w:highlight w:val="none"/>
          <w:lang w:val="en-US" w:eastAsia="zh-CN"/>
        </w:rPr>
        <w:t>10</w:t>
      </w:r>
      <w:r>
        <w:rPr>
          <w:rFonts w:hint="default" w:ascii="Times New Roman" w:hAnsi="Times New Roman" w:eastAsia="楷体_GB2312" w:cs="Times New Roman"/>
          <w:sz w:val="32"/>
          <w:szCs w:val="32"/>
          <w:highlight w:val="none"/>
        </w:rPr>
        <w:t>日</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jc w:val="center"/>
        <w:rPr>
          <w:rFonts w:hint="eastAsia" w:ascii="方正小标宋简体" w:hAnsi="方正小标宋简体" w:eastAsia="方正小标宋简体" w:cs="方正小标宋简体"/>
          <w:sz w:val="44"/>
          <w:szCs w:val="44"/>
          <w:highlight w:val="none"/>
          <w:lang w:eastAsia="zh-CN"/>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岳阳市生态环境局华容分局</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部门（单位）整体支出</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（一）职能职责</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贯彻执行国家、省和市有关生态环境的法律法规和政策，根据职责和授权拟订生态环境保护规范性文件并监督实施。负责生态环境保护方面的制度建设；协调和监督管理辖区内生态环境保护工作；监督管理减排目标的落实；环境污染防治的监督管理；指导协调和监督生态保护修复工作；辐射环境安全的监督管理；生态环境准入的监督管理；生态环境监测工作；承担生态环境保护综合执法工作；组织开展生态环境科技工作；会同有关部门管理生态环境保护有关资金项目；组织开展和指导生态环境宣传教育工作；完成市生态环境局交办的其他任务，协助华容县委、县政府开展生态环境保护工作，指导辖区内乡镇（街道）的生态环境保护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（二）机构设置</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rPr>
      </w:pPr>
      <w:r>
        <w:rPr>
          <w:rFonts w:hint="default" w:ascii="Times New Roman" w:hAnsi="Times New Roman" w:eastAsia="仿宋_GB2312" w:cs="Times New Roman"/>
          <w:color w:val="000000"/>
          <w:sz w:val="32"/>
          <w:szCs w:val="32"/>
          <w:lang w:val="en-US" w:eastAsia="zh-CN"/>
        </w:rPr>
        <w:t>我局属于参照公务员管理的事业单位，现有编制数62人，其中行政编制13人，参公编制28人，事业编制21人。现有在职在编人员5</w:t>
      </w:r>
      <w:r>
        <w:rPr>
          <w:rFonts w:hint="eastAsia"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lang w:val="en-US" w:eastAsia="zh-CN"/>
        </w:rPr>
        <w:t>人，退休人员2</w:t>
      </w:r>
      <w:r>
        <w:rPr>
          <w:rFonts w:hint="eastAsia"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lang w:val="en-US" w:eastAsia="zh-CN"/>
        </w:rPr>
        <w:t>人。内设办公室、生态环境监督股、法制宣教股、土壤生态股、水生态环境股、大气环境与应对气候变化股、固体废物股、行政审批股、规划与财务股、人事股。下设县生态环境保护综合行政执法大队、岳阳市华容生态环境监测站、岳阳市华容生态环境事务中心三个二级机构（二级机构财务上未独立核算）。</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pStyle w:val="11"/>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楷体_GB2312" w:cs="Times New Roman"/>
          <w:b/>
          <w:sz w:val="32"/>
          <w:szCs w:val="32"/>
          <w:highlight w:val="none"/>
        </w:rPr>
      </w:pPr>
      <w:r>
        <w:rPr>
          <w:rFonts w:hint="eastAsia" w:ascii="Times New Roman" w:hAnsi="Times New Roman" w:eastAsia="仿宋_GB2312" w:cs="Times New Roman"/>
          <w:color w:val="000000"/>
          <w:kern w:val="0"/>
          <w:sz w:val="32"/>
          <w:szCs w:val="32"/>
          <w:lang w:val="en-US" w:eastAsia="zh-CN" w:bidi="ar-SA"/>
        </w:rPr>
        <w:t>2023年一般公共预算财政拨款基本支出数为1056.24万元，是指为保障单位机构正常运转、完成日常工作任务而发生的各项支出，包括用于基本工资、津贴补贴、基础绩效奖等人员经费以及办公费、印刷费、水电费、差旅费等日常公用经费。其中：人员支出914.7万元，公用支出141.54万元。年度“三公”经费支出5.38万元。（其中：公务接待费3.6万元，公务用车运行维护费1.78万元）。合理有效地保障人员费用及局机关基本工作运行，我局严格实行经费支出事项事前审批制度，严格规范事后经费报销程序，严控经费开支标准。对因公出国、公车购买及运行维护、公务接待等“三公”经费支出做出“严格控制在财政部门批复的预算额度内，不得无预算、超预算列支”等要求，并实行公示制度，“三公”经费及部门预决算等按照市统一要求，由局官方网站对外公开。</w:t>
      </w:r>
    </w:p>
    <w:p>
      <w:pPr>
        <w:pStyle w:val="11"/>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sz w:val="32"/>
          <w:szCs w:val="32"/>
          <w:highlight w:val="none"/>
        </w:rPr>
      </w:pPr>
      <w:r>
        <w:rPr>
          <w:rFonts w:hint="eastAsia" w:ascii="Times New Roman" w:hAnsi="Times New Roman" w:eastAsia="仿宋_GB2312" w:cs="Times New Roman"/>
          <w:color w:val="000000"/>
          <w:kern w:val="0"/>
          <w:sz w:val="32"/>
          <w:szCs w:val="32"/>
          <w:lang w:val="en-US" w:eastAsia="zh-CN" w:bidi="ar-SA"/>
        </w:rPr>
        <w:t>2023年一般公共预算财政拨款项目支出数为733.82万元，是指单位为完成特定行政工作任务或事业发展目标而发生的支出，包括有关业务工作经费、运行维护经费等。其中：环境监测、监控及监察能力建设支出312.48万元、环境监察、监测运行经费支出330.18万元、办案费支出0.38万元、2022年单位指标结余结转支出10.78万元、省级农村环境综合整治资金支出40万元、省级环保专项资金支出40万元，主要用于办案费、委托业务、专业设备购置、差旅费、其他交通费、印刷费等方面。对项目资金的管理我局建立了项目资金管理办法，遵循专款专用、单独核算的管理原则，项目资金财政拨款到位后及时进行了项目的开展和资金的投入。</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pPr>
        <w:pStyle w:val="11"/>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Times New Roman" w:hAnsi="Times New Roman" w:eastAsia="黑体" w:cs="Times New Roman"/>
          <w:sz w:val="32"/>
          <w:szCs w:val="32"/>
          <w:highlight w:val="none"/>
          <w:lang w:val="en-US" w:eastAsia="zh-CN"/>
        </w:rPr>
      </w:pPr>
      <w:r>
        <w:rPr>
          <w:rFonts w:hint="eastAsia" w:ascii="Times New Roman" w:hAnsi="Times New Roman" w:eastAsia="仿宋_GB2312" w:cs="Times New Roman"/>
          <w:color w:val="000000"/>
          <w:kern w:val="0"/>
          <w:sz w:val="32"/>
          <w:szCs w:val="32"/>
          <w:lang w:val="en-US" w:eastAsia="zh-CN" w:bidi="ar-SA"/>
        </w:rPr>
        <w:t>2022年度本单位无政府性基金安排的支出。</w:t>
      </w:r>
    </w:p>
    <w:p>
      <w:pPr>
        <w:pStyle w:val="11"/>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pPr>
        <w:pStyle w:val="11"/>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Times New Roman" w:hAnsi="Times New Roman" w:eastAsia="黑体" w:cs="Times New Roman"/>
          <w:sz w:val="32"/>
          <w:szCs w:val="32"/>
          <w:highlight w:val="none"/>
          <w:lang w:val="en-US" w:eastAsia="zh-CN"/>
        </w:rPr>
      </w:pPr>
      <w:r>
        <w:rPr>
          <w:rFonts w:hint="eastAsia" w:ascii="Times New Roman" w:hAnsi="Times New Roman" w:eastAsia="仿宋_GB2312" w:cs="Times New Roman"/>
          <w:color w:val="000000"/>
          <w:kern w:val="0"/>
          <w:sz w:val="32"/>
          <w:szCs w:val="32"/>
          <w:lang w:val="en-US" w:eastAsia="zh-CN" w:bidi="ar-SA"/>
        </w:rPr>
        <w:t>2023年度本单位无国有资本经营安排的支出。</w:t>
      </w:r>
    </w:p>
    <w:p>
      <w:pPr>
        <w:pStyle w:val="11"/>
        <w:keepNext w:val="0"/>
        <w:keepLines w:val="0"/>
        <w:pageBreakBefore w:val="0"/>
        <w:widowControl/>
        <w:numPr>
          <w:ilvl w:val="0"/>
          <w:numId w:val="3"/>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Times New Roman"/>
          <w:color w:val="000000"/>
          <w:sz w:val="32"/>
          <w:szCs w:val="32"/>
          <w:lang w:val="en-US" w:eastAsia="zh-CN"/>
        </w:rPr>
        <w:t>2023年度本单位无社会保险基金安排的支出。</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kern w:val="0"/>
          <w:sz w:val="32"/>
          <w:szCs w:val="32"/>
          <w:lang w:val="en-US" w:eastAsia="zh-CN" w:bidi="ar-SA"/>
        </w:rPr>
        <w:t>本年预算配置控制较好，财政供养人员控制在预算编制以内。三公经费控制得较好，相比去年决算和年初预算都有所减少。预算管理方面制度执行总体较为有效，仍需进一步强化。资金分配和使用管理需进一步加强。资产管理方面建立了资产管理制度，资产配置和处置严格按规范进行，对全局资产进行了详细的清查，加强了对资产的管理，总体执行较好。政府采购严格按照政府采购内部控制制度严格流程管理，规范执行。</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由于人员配置不足，绩效评价未能完全涵盖我单位工作的各个方面，未能设置个性化量化考核指标，对各项资金使用的规范性和使用结果的有效性分析并不透彻。下一阶段，我单位将进一步推进绩效管理，做到对各项支出的效果进行跟踪问效，将绩效管理融入单位的日常管理中。</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lang w:val="en-US" w:eastAsia="zh-CN"/>
        </w:rPr>
        <w:t>2、人员素质有待进一步提高，由于绩效管理工作涉及面广，专业性强，加上缺乏系统的培训，单位对绩效管理理解不充分，对绩效管理业务不精通，在一定程度上影响了绩效评价工作质量。</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八、下一步改进措施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进一步完善资金使用监管机制，动态跟踪资金使用情况，切实加快预算执行，将资金管理与业务活动紧密贴合，对业务类项目进行归并、调整和优化，以项目整合提高统筹效益。保障用对资金，用好资金，将资金用于刀刃上，灵活高效地服务于本部门职能及重点工作任务。同时加强预算资金绩效管理水平，资金申报与绩效目标申报同步，切实做好“花钱必有效，无效必问责”。</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细化预算编制工作，认真做好预算的编制。进一步加强局内部机构各科室的预算管理意识，严格按照预算编制的相关制度和要求，公用经费根据单位的年度工作重点和项目专项工作规划，本着“勤俭节约、保障运转”的原则进行预算的编制；编制范围尽可能的全面，不漏项；在预算编制时首先需满足固定性的、相对刚性的费用支出项目，尽量压缩变动性的、有控制空间的费用项目；进一步提高预算编制的科学性、合理性、严谨性和可控性。</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加强财务管理，严格财务审核，在费用报账支付时，按照预算规定的费用项目和用途进行资金使用的审核，严格按照费用的实际使用用途进行资金支付项目的列报，严格按照实际的费用支出内容进行财务核算，在预算金额内严格控制费用的支出，控制超支现象的发生。</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4、在项目资金及时到位的前提下，加快项目实施进度的推进，加强项目开展进度的跟踪，开展项目绩效评价，确保项目绩效目标的完成。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5、加强财务核算工作，提高财务的精细化管理，确保财务核算的真实、及时、准确、完整。</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pPr>
        <w:pStyle w:val="7"/>
        <w:rPr>
          <w:rFonts w:hint="default"/>
        </w:rPr>
      </w:pPr>
      <w:r>
        <w:rPr>
          <w:rFonts w:hint="eastAsia" w:ascii="Times New Roman" w:hAnsi="Times New Roman" w:eastAsia="仿宋_GB2312" w:cs="Times New Roman"/>
          <w:sz w:val="32"/>
          <w:szCs w:val="32"/>
          <w:lang w:val="en-US" w:eastAsia="zh-CN"/>
        </w:rPr>
        <w:t>根据部门整体支出绩效评价指标体系，本局202</w:t>
      </w:r>
      <w:r>
        <w:rPr>
          <w:rFonts w:hint="eastAsia"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年度评价得分98分。社会效率和有效性评价较好，社会公众满意度评价较好。按照市统一要求，由局官方网站对外公开。</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其他需要说明的情况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无</w:t>
      </w:r>
    </w:p>
    <w:p>
      <w:pPr>
        <w:pStyle w:val="7"/>
        <w:rPr>
          <w:rFonts w:hint="default"/>
        </w:rPr>
      </w:pP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highlight w:val="none"/>
          <w:lang w:val="en-US" w:eastAsia="zh-CN"/>
        </w:rPr>
      </w:pPr>
      <w:r>
        <w:rPr>
          <w:rFonts w:hint="eastAsia" w:ascii="仿宋_GB2312" w:hAnsi="仿宋_GB2312" w:eastAsia="仿宋_GB2312" w:cs="仿宋_GB2312"/>
          <w:sz w:val="32"/>
          <w:szCs w:val="3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p>
      <w:pPr>
        <w:spacing w:before="120" w:beforeLines="50" w:after="120" w:afterLines="50"/>
        <w:jc w:val="center"/>
        <w:rPr>
          <w:rFonts w:hint="eastAsia" w:ascii="方正小标宋简体" w:hAnsi="方正小标宋简体" w:eastAsia="方正小标宋简体" w:cs="方正小标宋简体"/>
          <w:spacing w:val="-6"/>
          <w:sz w:val="36"/>
          <w:szCs w:val="36"/>
          <w:highlight w:val="none"/>
        </w:rPr>
      </w:pPr>
      <w:r>
        <w:rPr>
          <w:rFonts w:hint="eastAsia" w:ascii="方正小标宋简体" w:hAnsi="方正小标宋简体" w:eastAsia="方正小标宋简体" w:cs="方正小标宋简体"/>
          <w:sz w:val="36"/>
          <w:szCs w:val="36"/>
          <w:highlight w:val="none"/>
        </w:rPr>
        <w:t>部门整体支出</w:t>
      </w:r>
      <w:r>
        <w:rPr>
          <w:rFonts w:hint="eastAsia" w:ascii="方正小标宋简体" w:hAnsi="方正小标宋简体" w:eastAsia="方正小标宋简体" w:cs="方正小标宋简体"/>
          <w:spacing w:val="-6"/>
          <w:sz w:val="36"/>
          <w:szCs w:val="36"/>
          <w:highlight w:val="none"/>
        </w:rPr>
        <w:t>绩效自评工作考核评分表</w:t>
      </w:r>
    </w:p>
    <w:tbl>
      <w:tblPr>
        <w:tblStyle w:val="8"/>
        <w:tblW w:w="9941" w:type="dxa"/>
        <w:jc w:val="center"/>
        <w:tblLayout w:type="fixed"/>
        <w:tblCellMar>
          <w:top w:w="0" w:type="dxa"/>
          <w:left w:w="108" w:type="dxa"/>
          <w:bottom w:w="0" w:type="dxa"/>
          <w:right w:w="108" w:type="dxa"/>
        </w:tblCellMar>
      </w:tblPr>
      <w:tblGrid>
        <w:gridCol w:w="745"/>
        <w:gridCol w:w="1174"/>
        <w:gridCol w:w="5000"/>
        <w:gridCol w:w="3022"/>
      </w:tblGrid>
      <w:tr>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一级指标</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二级指标</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评分标准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所需佐证材料</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布置工作</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自评通知</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（8分）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印发绩效自评通知的得2分，否则不得分。</w:t>
            </w:r>
          </w:p>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绩效自评通知盖章的电子版</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工作小组</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本部门、本单位预算绩效管理领导小组</w:t>
            </w:r>
            <w:r>
              <w:rPr>
                <w:rFonts w:hint="default" w:ascii="Times New Roman" w:hAnsi="Times New Roman" w:eastAsia="仿宋_GB2312" w:cs="Times New Roman"/>
                <w:spacing w:val="0"/>
                <w:sz w:val="20"/>
                <w:szCs w:val="20"/>
                <w:highlight w:val="none"/>
                <w:lang w:val="en-US" w:eastAsia="zh-CN"/>
              </w:rPr>
              <w:t>/</w:t>
            </w:r>
            <w:r>
              <w:rPr>
                <w:rFonts w:hint="default" w:ascii="Times New Roman" w:hAnsi="Times New Roman" w:eastAsia="仿宋_GB2312" w:cs="Times New Roman"/>
                <w:sz w:val="20"/>
                <w:szCs w:val="20"/>
                <w:highlight w:val="none"/>
              </w:rPr>
              <w:t>绩效评价工作小组</w:t>
            </w:r>
            <w:r>
              <w:rPr>
                <w:rFonts w:hint="default" w:ascii="Times New Roman" w:hAnsi="Times New Roman" w:eastAsia="仿宋_GB2312" w:cs="Times New Roman"/>
                <w:sz w:val="20"/>
                <w:szCs w:val="20"/>
                <w:highlight w:val="none"/>
                <w:lang w:eastAsia="zh-CN"/>
              </w:rPr>
              <w:t>有关</w:t>
            </w:r>
            <w:r>
              <w:rPr>
                <w:rFonts w:hint="default" w:ascii="Times New Roman" w:hAnsi="Times New Roman" w:eastAsia="仿宋_GB2312" w:cs="Times New Roman"/>
                <w:spacing w:val="0"/>
                <w:sz w:val="20"/>
                <w:szCs w:val="20"/>
                <w:highlight w:val="none"/>
              </w:rPr>
              <w:t>文件</w:t>
            </w:r>
            <w:r>
              <w:rPr>
                <w:rFonts w:hint="default" w:ascii="Times New Roman" w:hAnsi="Times New Roman" w:eastAsia="仿宋_GB2312" w:cs="Times New Roman"/>
                <w:sz w:val="20"/>
                <w:szCs w:val="20"/>
                <w:highlight w:val="none"/>
              </w:rPr>
              <w:t>盖章的电子版</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实施评价</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单位自查</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sz w:val="20"/>
                <w:szCs w:val="20"/>
                <w:highlight w:val="none"/>
                <w:lang w:eastAsia="zh-CN"/>
              </w:rPr>
              <w:t>市级</w:t>
            </w:r>
            <w:r>
              <w:rPr>
                <w:rFonts w:hint="default" w:ascii="Times New Roman" w:hAnsi="Times New Roman" w:eastAsia="仿宋_GB2312" w:cs="Times New Roman"/>
                <w:sz w:val="20"/>
                <w:szCs w:val="20"/>
                <w:highlight w:val="none"/>
              </w:rPr>
              <w:t>预算部门本级和所属单位都要开展绩效自查，转移支付项目单位都要开展绩效自查，</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pPr>
              <w:numPr>
                <w:ilvl w:val="0"/>
                <w:numId w:val="4"/>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转移支付项目单位名称和资</w:t>
            </w:r>
            <w:r>
              <w:rPr>
                <w:rFonts w:hint="eastAsia" w:ascii="Times New Roman" w:hAnsi="Times New Roman" w:eastAsia="仿宋_GB2312" w:cs="Times New Roman"/>
                <w:sz w:val="20"/>
                <w:szCs w:val="20"/>
                <w:highlight w:val="none"/>
                <w:lang w:val="en-US" w:eastAsia="zh-CN"/>
              </w:rPr>
              <w:t xml:space="preserve"> </w:t>
            </w:r>
            <w:r>
              <w:rPr>
                <w:rFonts w:hint="default" w:ascii="Times New Roman" w:hAnsi="Times New Roman" w:eastAsia="仿宋_GB2312" w:cs="Times New Roman"/>
                <w:sz w:val="20"/>
                <w:szCs w:val="20"/>
                <w:highlight w:val="none"/>
              </w:rPr>
              <w:t>金情况清单</w:t>
            </w:r>
          </w:p>
          <w:p>
            <w:pPr>
              <w:numPr>
                <w:ilvl w:val="0"/>
                <w:numId w:val="4"/>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有转移支付资金的各</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主管部门汇总情况的盖章PDF版　</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提交报告</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8022" w:type="dxa"/>
            <w:gridSpan w:val="2"/>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按时向</w:t>
            </w:r>
            <w:r>
              <w:rPr>
                <w:rFonts w:hint="eastAsia" w:ascii="Times New Roman" w:hAnsi="Times New Roman" w:eastAsia="仿宋_GB2312" w:cs="Times New Roman"/>
                <w:sz w:val="20"/>
                <w:szCs w:val="20"/>
                <w:highlight w:val="none"/>
                <w:lang w:eastAsia="zh-CN"/>
              </w:rPr>
              <w:t>市财政局</w:t>
            </w:r>
            <w:r>
              <w:rPr>
                <w:rFonts w:hint="default" w:ascii="Times New Roman" w:hAnsi="Times New Roman" w:eastAsia="仿宋_GB2312" w:cs="Times New Roman"/>
                <w:sz w:val="20"/>
                <w:szCs w:val="20"/>
                <w:highlight w:val="none"/>
              </w:rPr>
              <w:t>报送报告的得10分；每推迟一个工作日报送报告的扣1分，最多扣10分。</w:t>
            </w:r>
          </w:p>
        </w:tc>
      </w:tr>
      <w:tr>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自评报告</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70分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完整性</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绩效自评报告正文部分内容齐全的，得8分；否则每少一个部分扣2分，最多扣8分。</w:t>
            </w:r>
          </w:p>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绩效自评报告附件部分内容齐全的，得7分；否则每少一个部分扣2分，最多扣7分。</w:t>
            </w:r>
          </w:p>
        </w:tc>
      </w:tr>
      <w:tr>
        <w:tblPrEx>
          <w:tblCellMar>
            <w:top w:w="0" w:type="dxa"/>
            <w:left w:w="108" w:type="dxa"/>
            <w:bottom w:w="0" w:type="dxa"/>
            <w:right w:w="108" w:type="dxa"/>
          </w:tblCellMar>
        </w:tblPrEx>
        <w:trPr>
          <w:trHeight w:val="2143"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自评表</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highlight w:val="none"/>
                <w:lang w:eastAsia="zh-CN"/>
              </w:rPr>
              <w:t>岳阳市市级</w:t>
            </w:r>
            <w:r>
              <w:rPr>
                <w:rFonts w:hint="default" w:ascii="Times New Roman" w:hAnsi="Times New Roman" w:eastAsia="仿宋_GB2312" w:cs="Times New Roman"/>
                <w:sz w:val="20"/>
                <w:szCs w:val="20"/>
                <w:highlight w:val="none"/>
              </w:rPr>
              <w:t>预算部门绩效自评操作规程》要求的，得5分，否则按比例扣除相应的分数。</w:t>
            </w:r>
          </w:p>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部门整体支出和项目支出绩效指标全部细化到三级指标的，得5分；部分细化的，酌情扣分；没有细化的，不得分。</w:t>
            </w:r>
          </w:p>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3</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tblPrEx>
          <w:tblCellMar>
            <w:top w:w="0" w:type="dxa"/>
            <w:left w:w="108" w:type="dxa"/>
            <w:bottom w:w="0" w:type="dxa"/>
            <w:right w:w="108" w:type="dxa"/>
          </w:tblCellMar>
        </w:tblPrEx>
        <w:trPr>
          <w:trHeight w:val="119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cs="Times New Roman"/>
                <w:highlight w:val="none"/>
              </w:rPr>
            </w:pPr>
          </w:p>
          <w:p>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反映问</w:t>
            </w:r>
          </w:p>
          <w:p>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题情况</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tblPrEx>
          <w:tblCellMar>
            <w:top w:w="0" w:type="dxa"/>
            <w:left w:w="108" w:type="dxa"/>
            <w:bottom w:w="0" w:type="dxa"/>
            <w:right w:w="108" w:type="dxa"/>
          </w:tblCellMar>
        </w:tblPrEx>
        <w:trPr>
          <w:trHeight w:val="62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建议情况</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建议与问题对应且全面的得15分，建议比较全面的得12—14分，建议不全面的得9—11分，建议过于简单的得6—8分，只提出加大资金投入建议的不得分；其他情况酌情扣分。</w:t>
            </w:r>
          </w:p>
        </w:tc>
      </w:tr>
      <w:tr>
        <w:tblPrEx>
          <w:tblCellMar>
            <w:top w:w="0" w:type="dxa"/>
            <w:left w:w="108" w:type="dxa"/>
            <w:bottom w:w="0" w:type="dxa"/>
            <w:right w:w="108" w:type="dxa"/>
          </w:tblCellMar>
        </w:tblPrEx>
        <w:trPr>
          <w:trHeight w:val="495"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　</w:t>
            </w:r>
          </w:p>
        </w:tc>
      </w:tr>
    </w:tbl>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D84F2"/>
    <w:multiLevelType w:val="singleLevel"/>
    <w:tmpl w:val="852D84F2"/>
    <w:lvl w:ilvl="0" w:tentative="0">
      <w:start w:val="1"/>
      <w:numFmt w:val="chineseCounting"/>
      <w:suff w:val="nothing"/>
      <w:lvlText w:val="%1、"/>
      <w:lvlJc w:val="left"/>
      <w:rPr>
        <w:rFonts w:hint="eastAsia"/>
      </w:rPr>
    </w:lvl>
  </w:abstractNum>
  <w:abstractNum w:abstractNumId="1">
    <w:nsid w:val="DA2B2983"/>
    <w:multiLevelType w:val="singleLevel"/>
    <w:tmpl w:val="DA2B2983"/>
    <w:lvl w:ilvl="0" w:tentative="0">
      <w:start w:val="2"/>
      <w:numFmt w:val="chineseCounting"/>
      <w:suff w:val="nothing"/>
      <w:lvlText w:val="（%1）"/>
      <w:lvlJc w:val="left"/>
      <w:rPr>
        <w:rFonts w:hint="eastAsia"/>
      </w:rPr>
    </w:lvl>
  </w:abstractNum>
  <w:abstractNum w:abstractNumId="2">
    <w:nsid w:val="59084CB4"/>
    <w:multiLevelType w:val="singleLevel"/>
    <w:tmpl w:val="59084CB4"/>
    <w:lvl w:ilvl="0" w:tentative="0">
      <w:start w:val="4"/>
      <w:numFmt w:val="chineseCounting"/>
      <w:suff w:val="nothing"/>
      <w:lvlText w:val="%1、"/>
      <w:lvlJc w:val="left"/>
      <w:rPr>
        <w:rFonts w:hint="eastAsia"/>
      </w:rPr>
    </w:lvl>
  </w:abstractNum>
  <w:abstractNum w:abstractNumId="3">
    <w:nsid w:val="5DDF8822"/>
    <w:multiLevelType w:val="singleLevel"/>
    <w:tmpl w:val="5DDF8822"/>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zMTIyM2ZlZTljZDMzZWNjNTFiZjkxOTY0M2NmZWUifQ=="/>
  </w:docVars>
  <w:rsids>
    <w:rsidRoot w:val="59886344"/>
    <w:rsid w:val="00C12DE3"/>
    <w:rsid w:val="00CA7EEA"/>
    <w:rsid w:val="03597303"/>
    <w:rsid w:val="0394658D"/>
    <w:rsid w:val="070E2AFA"/>
    <w:rsid w:val="0A7315F2"/>
    <w:rsid w:val="0E820056"/>
    <w:rsid w:val="0F0D5446"/>
    <w:rsid w:val="107734BE"/>
    <w:rsid w:val="12EF1A32"/>
    <w:rsid w:val="15064E11"/>
    <w:rsid w:val="15681628"/>
    <w:rsid w:val="1B19589E"/>
    <w:rsid w:val="1B7F06C9"/>
    <w:rsid w:val="1CFD2F9D"/>
    <w:rsid w:val="1D94745E"/>
    <w:rsid w:val="1E5B7F7C"/>
    <w:rsid w:val="1EBB4EBE"/>
    <w:rsid w:val="205729C5"/>
    <w:rsid w:val="21CB71C6"/>
    <w:rsid w:val="24042E63"/>
    <w:rsid w:val="24EC4023"/>
    <w:rsid w:val="26834513"/>
    <w:rsid w:val="27675BE3"/>
    <w:rsid w:val="28AD1D1C"/>
    <w:rsid w:val="2D9D410D"/>
    <w:rsid w:val="2F452CAE"/>
    <w:rsid w:val="303F76FD"/>
    <w:rsid w:val="34BB30CA"/>
    <w:rsid w:val="36932551"/>
    <w:rsid w:val="3ABB2076"/>
    <w:rsid w:val="3BE850ED"/>
    <w:rsid w:val="3CCF1E09"/>
    <w:rsid w:val="3FB935B4"/>
    <w:rsid w:val="3FD80FD4"/>
    <w:rsid w:val="41635215"/>
    <w:rsid w:val="41FF4F3E"/>
    <w:rsid w:val="4410282B"/>
    <w:rsid w:val="44877E79"/>
    <w:rsid w:val="44F763A1"/>
    <w:rsid w:val="49425710"/>
    <w:rsid w:val="4A6C513B"/>
    <w:rsid w:val="4B11183E"/>
    <w:rsid w:val="4B133808"/>
    <w:rsid w:val="4B326B88"/>
    <w:rsid w:val="4BA426B2"/>
    <w:rsid w:val="4C87625C"/>
    <w:rsid w:val="4D956757"/>
    <w:rsid w:val="4D9E1AAF"/>
    <w:rsid w:val="4DEE6C20"/>
    <w:rsid w:val="4F742AF9"/>
    <w:rsid w:val="4FA709C3"/>
    <w:rsid w:val="50BC224C"/>
    <w:rsid w:val="54C55B73"/>
    <w:rsid w:val="55256612"/>
    <w:rsid w:val="55B1434A"/>
    <w:rsid w:val="57AE6D93"/>
    <w:rsid w:val="591470C9"/>
    <w:rsid w:val="59886344"/>
    <w:rsid w:val="5D6879E4"/>
    <w:rsid w:val="5E6C0FF8"/>
    <w:rsid w:val="60624BBE"/>
    <w:rsid w:val="631A352E"/>
    <w:rsid w:val="66A355E9"/>
    <w:rsid w:val="6C101972"/>
    <w:rsid w:val="6E2E4332"/>
    <w:rsid w:val="709541F4"/>
    <w:rsid w:val="72DB610A"/>
    <w:rsid w:val="73C3376E"/>
    <w:rsid w:val="74C96B62"/>
    <w:rsid w:val="78CC6C21"/>
    <w:rsid w:val="79960FDD"/>
    <w:rsid w:val="79D80E17"/>
    <w:rsid w:val="7AA30F75"/>
    <w:rsid w:val="7BF87D2D"/>
    <w:rsid w:val="7C4116D4"/>
    <w:rsid w:val="7EF70770"/>
    <w:rsid w:val="7F1D01D6"/>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 w:hAnsi="仿宋" w:eastAsia="宋体" w:cs="Times New Roman"/>
      <w:kern w:val="0"/>
      <w:sz w:val="28"/>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200" w:firstLineChars="200"/>
    </w:pPr>
    <w:rPr>
      <w:rFonts w:ascii="Calibri" w:hAnsi="Calibri" w:eastAsia="宋体" w:cs="宋体"/>
      <w:kern w:val="2"/>
      <w:sz w:val="21"/>
      <w:szCs w:val="24"/>
    </w:rPr>
  </w:style>
  <w:style w:type="paragraph" w:styleId="3">
    <w:name w:val="Body Text"/>
    <w:basedOn w:val="1"/>
    <w:next w:val="4"/>
    <w:autoRedefine/>
    <w:semiHidden/>
    <w:qFormat/>
    <w:uiPriority w:val="0"/>
    <w:rPr>
      <w:rFonts w:ascii="仿宋" w:hAnsi="仿宋" w:eastAsia="仿宋" w:cs="仿宋"/>
      <w:sz w:val="31"/>
      <w:szCs w:val="31"/>
      <w:lang w:val="en-US" w:eastAsia="en-US" w:bidi="ar-SA"/>
    </w:rPr>
  </w:style>
  <w:style w:type="paragraph" w:styleId="4">
    <w:name w:val="toc 5"/>
    <w:basedOn w:val="1"/>
    <w:next w:val="1"/>
    <w:qFormat/>
    <w:uiPriority w:val="0"/>
    <w:pPr>
      <w:ind w:left="1680" w:leftChars="800"/>
    </w:pPr>
  </w:style>
  <w:style w:type="paragraph" w:styleId="5">
    <w:name w:val="Body Text Indent"/>
    <w:basedOn w:val="1"/>
    <w:next w:val="6"/>
    <w:qFormat/>
    <w:uiPriority w:val="0"/>
    <w:pPr>
      <w:spacing w:after="120"/>
      <w:ind w:left="420" w:leftChars="200"/>
    </w:pPr>
    <w:rPr>
      <w:rFonts w:ascii="Times New Roman" w:hAnsi="Times New Roman" w:eastAsia="宋体" w:cs="Times New Roman"/>
    </w:rPr>
  </w:style>
  <w:style w:type="paragraph" w:styleId="6">
    <w:name w:val="Body Text Indent 2"/>
    <w:basedOn w:val="1"/>
    <w:qFormat/>
    <w:uiPriority w:val="99"/>
    <w:pPr>
      <w:spacing w:line="560" w:lineRule="exact"/>
      <w:ind w:firstLine="538" w:firstLineChars="192"/>
    </w:pPr>
    <w:rPr>
      <w:rFonts w:ascii="宋体" w:hAnsi="宋体"/>
      <w:sz w:val="28"/>
      <w:szCs w:val="28"/>
    </w:rPr>
  </w:style>
  <w:style w:type="paragraph" w:styleId="7">
    <w:name w:val="Body Text First Indent 2"/>
    <w:basedOn w:val="5"/>
    <w:next w:val="1"/>
    <w:qFormat/>
    <w:uiPriority w:val="0"/>
    <w:pPr>
      <w:ind w:firstLine="420" w:firstLineChars="200"/>
    </w:pPr>
    <w:rPr>
      <w:rFonts w:ascii="Times New Roman" w:hAnsi="Times New Roman" w:eastAsia="宋体" w:cs="Times New Roman"/>
    </w:rPr>
  </w:style>
  <w:style w:type="paragraph" w:customStyle="1" w:styleId="10">
    <w:name w:val="列出段落1"/>
    <w:basedOn w:val="1"/>
    <w:qFormat/>
    <w:uiPriority w:val="34"/>
    <w:pPr>
      <w:ind w:firstLine="420" w:firstLineChars="200"/>
    </w:pPr>
  </w:style>
  <w:style w:type="paragraph" w:styleId="11">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瑛～</cp:lastModifiedBy>
  <dcterms:modified xsi:type="dcterms:W3CDTF">2024-04-11T07:54:57Z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8B686E714E4E4A4CAAFEA52C61EEF6F4_13</vt:lpwstr>
  </property>
</Properties>
</file>