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6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100.00%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1.76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4.00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0.62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1.18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3.00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1.18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3.00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0.58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1.00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0.26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121.26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6.00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83.03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24.14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2、办案费支出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38.28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环境监测、监控及监察能力建设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16.26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4、环境监察、监测等运行经费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42.58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58.76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331.31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77.62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404.77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326.88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 xml:space="preserve">55.00 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 xml:space="preserve">73.39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4.35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 xml:space="preserve">6.00 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 xml:space="preserve">7.12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/>
              </w:rPr>
              <w:t>0.08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387.27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318.82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448.26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426.06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Lines="0" w:line="400" w:lineRule="exact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        填报日期：          联系电话：            单位负责人签字：</w:t>
      </w:r>
      <w:r>
        <w:rPr>
          <w:rFonts w:hint="default" w:ascii="Times New Roman" w:hAnsi="Times New Roman" w:eastAsia="仿宋_GB2312" w:cs="Times New Roman"/>
          <w:sz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6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416"/>
        <w:gridCol w:w="917"/>
        <w:gridCol w:w="1440"/>
        <w:gridCol w:w="793"/>
        <w:gridCol w:w="873"/>
        <w:gridCol w:w="1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岳阳市生态环境局岳阳楼分局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453.99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957.08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923.03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96.44%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44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5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44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554.86</w:t>
            </w:r>
          </w:p>
        </w:tc>
        <w:tc>
          <w:tcPr>
            <w:tcW w:w="45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840.00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44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5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83.03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44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</w:p>
        </w:tc>
        <w:tc>
          <w:tcPr>
            <w:tcW w:w="45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44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402.17</w:t>
            </w:r>
          </w:p>
        </w:tc>
        <w:tc>
          <w:tcPr>
            <w:tcW w:w="455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4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4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目标1：抓好中央等各级交办突出环境问题整改。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目标2：强化企业监管，妥善处理群众信访，着力改善城区环境质量。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目标3：积极开展水、气、土污染防治攻坚工作。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目标4：严把项目审批关、选址关、落实“放管服”改革。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目标5：加强环境宣传，增强公众环境保护意识。　　　　</w:t>
            </w:r>
          </w:p>
        </w:tc>
        <w:tc>
          <w:tcPr>
            <w:tcW w:w="4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紧盯问题重点，持续抓好整改销号；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2、狠抓源头治理，聚力打好水质攻坚战；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3、多举措全领域，强力打好蓝天保卫战；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4、强化执法监管，防范生态污染事故；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5、落实“双随机、一公开”日常执法规范有序，其他工作稳步开展。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开展行政执法次数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400次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400次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立案查处环境违法案件数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39起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39起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完成的罚没款征缴任务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60万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129.79万元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环境质量达标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完成任务率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按时完成各项指标任务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2023年度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2023年度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突发任务及时完成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即时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即时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成本控制在预算内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推动污染治理环保产业发展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效益明显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有所改善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提升了公众环保意识，提升生态环境保护社会影响度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效益明显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有所提升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区域内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生态环境考核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达标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达标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绿色发展稳步推进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效益明显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效益明显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全体人民群众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95%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9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99.64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6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办案费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岳阳市生态环境局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岳阳市生态环境局岳阳楼分局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7.17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7.17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7.17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7.17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该项目为我单位2023年其他一般罚没收入返还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2023年罚没征收任务数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60万元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129.79万元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确实罚没收入100%完成任务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罚没任务完成率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按时完成各项指标任务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罚没收入征收成本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6万元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促进经济发展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经济平稳发展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经济平稳发展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改善居民生产、生活环境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城区空气质量优良率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大于等于85%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推动辖区生态环境质量持续改善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环境质量稳步提升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全体人民群众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widowControl/>
        <w:spacing w:line="600" w:lineRule="exact"/>
        <w:jc w:val="left"/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6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环境监察、监测等运行经费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岳阳市生态环境局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岳阳市生态环境局岳阳楼分局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58.76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58.76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58.76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58.76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目标1：日常环境监管、执法工作；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目标2：委托第三方进行执法性监督监测；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目标3：环保迎检、应急处置经费；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目标4：节能环保宣传费用。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监测频次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每月一次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各种整治符合环保标准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完成主要污染物减排目标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按时完成各项指标任务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2023年12月31日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工作经费和专项治理经费按要求控制在预算内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实现节能减排，减少环保治理经费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经济平稳发展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经济平稳发展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改善居民生产、生活环境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有所改善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城区空气质量优良率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≥85%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推动辖区生态环境质量持续改善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环境质量稳步提升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全体人民群众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≥95%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br w:type="page"/>
      </w: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_GBK" w:cs="Times New Roman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年度岳阳市生态环境局岳阳楼分局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部门（单位）名称：岳阳市生态环境局岳阳楼分局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sz w:val="32"/>
          <w:szCs w:val="32"/>
          <w:highlight w:val="none"/>
        </w:rPr>
        <w:t>年  月  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（此页为封面）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年度岳阳市生态环境局岳阳楼分局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1、受市生态环境局委托，承担辖区内的生态环境相关工作；承担市生态环境局和区管委会交办的其他任务。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2、负责本辖区内重点污染源在线监控系统现场监督管理；负责受理和办理生态环境保护举报（信访），负责生态环境信访维稳事件的现场调查处置工作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负责本辖区生态环境质量监测、执法监测、污染源监测和应急监测；负责辖区内生态文明示范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创建。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岳阳市生态环境局岳阳楼分局属岳阳市生态环境局二级机构。根据分局的整体情况，分局下设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个股室（办公室、监察大队、督政办、水污染防治股、大气、土壤污染防治股、法制宣教股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、行政审批股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）。分局目前共有工作人员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（一）基本支出情况</w:t>
      </w:r>
    </w:p>
    <w:p>
      <w:pPr>
        <w:ind w:firstLine="640" w:firstLineChars="200"/>
        <w:jc w:val="left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2023年基本支出471.83万元，其中：人员经费405.41万元，主要用于基本工资、津补贴、社会保障缴费等；公用经费66.42万元，主要用于日常办公开支。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  <w:t>项目支出情况</w:t>
      </w:r>
    </w:p>
    <w:p>
      <w:pPr>
        <w:ind w:firstLine="640" w:firstLineChars="200"/>
        <w:jc w:val="left"/>
        <w:rPr>
          <w:rFonts w:hint="default" w:ascii="Times New Roman" w:hAnsi="Times New Roman" w:eastAsia="楷体_GB2312" w:cs="Times New Roman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2023年专项资金共投入83.03万元，主要用于完成特定行政工作任务或事业发展目标而发生的支出，包括办案费7.17万元，环境监察、监测等运行经费58.76万元，环境监测、监控及监察能力建设15.00万元。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政府性基金预算支出情况</w:t>
      </w:r>
    </w:p>
    <w:p>
      <w:p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2023年度本单位无政府性基金预算支出。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国有资本经营预算支出情况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2023年度本单位无国有资本经营预算支出。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>
      <w:p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/>
        </w:rPr>
        <w:t>2023年度本单位无社会保险基金预算支出。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六、部门整体支出绩效情况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 xml:space="preserve">一）部门资金情况分析 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我局2023年预算资金总额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957.08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万元，专项经费实行专款专用，严格按照相关规定支付，资金支付合规合法，资金使用率100%。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（二）项目绩效指标完成情况分析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 xml:space="preserve">1.履职效能情况分析 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今年以来对辖区企事业单位共进行移动执法400余家次，出动执法人员1200余人次。严肃查处环境违法行为，今年来共立案查处环境违法案件39起，下达行政处罚决定书20份，罚款129.79万元，办理四个配套办法类案件3起，（查封扣押1起，移送拘留1起，移送犯罪1起）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2.管理效率情况分析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 xml:space="preserve">预算编制完整，专项资金细化率、预算执行率达到标准，预算调整率偏高，主要原因是追加项目增加导致预算调整金额增加。收入支出管理规范，内控制度有效，资产管理规范，部门固定资产利用率符合目标，信息化建设和管理制度建设有效。 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 xml:space="preserve">3.运行成本控制情况分析 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“三公经费”、公用经费均控制在预算范围内，项目支出有所超出预算，原因在于本年度市财政局拨付的专项资金。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4.服务满意度指标完成情况分析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今年以来，执法大队共接受各类环境信访案件共269件，其中来信(含市长信箱)投诉件6件，来电话投诉件257件(含12369热线12件、12345热线245件），来访投诉件1件，网络和微信投诉2件，舆情3件，按时办结率100%。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可持续性影响情况分析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打好蓝天保卫战，加大影响大气环境问题的巡查力度，督促相关单位做好道路扬尘、餐饮油烟、建筑工地、渣土运输等重点突出问题防治。打好碧水保卫战，扎实开展两批入河排污口的排查、监测、溯源工作，共溯源调查排污口45个，编制“一口一策”清单及整治方案10个，完成规范化整治2个。开展地块土壤污染状况调查工作，先后下达《关于限期完成土壤污染状况调查的函》五份，完成五个地块的土壤初步调查，确保土壤安全利用率达标。全力推进“夏季攻势”任务落实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深入打好污染防治攻坚战，生态环境质量持续稳定向好。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七、存在的问题及原因分析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存在问题个别项目资金使用方面预算与实际存在差异。问题产生的主要原因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绩效管理水平有待提高，特别是绩效指标设置的科学性、合理性有待进一步改善。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加强财务管理，严格财务审批。在费用报账支付时，按照预算规定的费用项目和用途进行资金使用、审核，列报支付，财务核算杜绝超支现象的发生。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加强培训。建议多开展部门整体绩效评价工作的业务工作培训，组织开展部门之间、单位之间的经验交流，特别是要组织非财务部门的人员参与评价工作，切实推进绩效评价工作的开展。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建议市财政进一步加大环境保护资金力度，保障水、气、土攻坚“三大战役”持续推进，促进本辖区环境总体质量稳步提升。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九、部门整体支出绩效自评结果拟应用和公开情况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本单位绩效自评结果为良好等级。下一步将根据财政检查绩效自评发现的问题等进行改善，并按政务公开的相关规定，及时将部门整体支出及项目绩效自评报告，通过门户网站向社会公开。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十、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其他需要说明的情况</w:t>
      </w:r>
    </w:p>
    <w:p>
      <w:pPr>
        <w:pStyle w:val="2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报告需要以下附件：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部门整体支出绩效评价基础数据表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部门整体支出绩效自评表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项目支出绩效自评表（一个一级项目支出一张表）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政府性基金预算支出情况表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社会保险基金预算支出情况表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84F6BF"/>
    <w:multiLevelType w:val="singleLevel"/>
    <w:tmpl w:val="BF84F6B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C9476C"/>
    <w:multiLevelType w:val="singleLevel"/>
    <w:tmpl w:val="1AC947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A61B505"/>
    <w:multiLevelType w:val="singleLevel"/>
    <w:tmpl w:val="3A61B505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A215510"/>
    <w:multiLevelType w:val="singleLevel"/>
    <w:tmpl w:val="5A21551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59886344"/>
    <w:rsid w:val="01DE1773"/>
    <w:rsid w:val="073C1416"/>
    <w:rsid w:val="07B02A34"/>
    <w:rsid w:val="08850B9A"/>
    <w:rsid w:val="0B84338B"/>
    <w:rsid w:val="0D4728C2"/>
    <w:rsid w:val="0DF77E44"/>
    <w:rsid w:val="0E9F1CD8"/>
    <w:rsid w:val="0F56503F"/>
    <w:rsid w:val="0FFE1D4D"/>
    <w:rsid w:val="120D5E88"/>
    <w:rsid w:val="16BE1E47"/>
    <w:rsid w:val="17604CAC"/>
    <w:rsid w:val="183D2675"/>
    <w:rsid w:val="1EDD4E34"/>
    <w:rsid w:val="1F071E17"/>
    <w:rsid w:val="20992FDD"/>
    <w:rsid w:val="228F5837"/>
    <w:rsid w:val="22D34474"/>
    <w:rsid w:val="236D4497"/>
    <w:rsid w:val="24824B9B"/>
    <w:rsid w:val="26754968"/>
    <w:rsid w:val="26E34FB2"/>
    <w:rsid w:val="28A864B3"/>
    <w:rsid w:val="28A95D87"/>
    <w:rsid w:val="2A3F3A7A"/>
    <w:rsid w:val="2ACA0963"/>
    <w:rsid w:val="2C0C6D59"/>
    <w:rsid w:val="2C1300E8"/>
    <w:rsid w:val="2D0D68B9"/>
    <w:rsid w:val="31025454"/>
    <w:rsid w:val="318555E4"/>
    <w:rsid w:val="334177C8"/>
    <w:rsid w:val="34FF138B"/>
    <w:rsid w:val="3577485D"/>
    <w:rsid w:val="39DA6378"/>
    <w:rsid w:val="411A73CB"/>
    <w:rsid w:val="42F8362E"/>
    <w:rsid w:val="44354C47"/>
    <w:rsid w:val="44986AFC"/>
    <w:rsid w:val="44BF0E72"/>
    <w:rsid w:val="45CD7101"/>
    <w:rsid w:val="465810C1"/>
    <w:rsid w:val="467B6B5D"/>
    <w:rsid w:val="47ED5839"/>
    <w:rsid w:val="493059DD"/>
    <w:rsid w:val="4A563B69"/>
    <w:rsid w:val="4A7E7D2A"/>
    <w:rsid w:val="4CE02D86"/>
    <w:rsid w:val="4D555C7D"/>
    <w:rsid w:val="4E1C41B2"/>
    <w:rsid w:val="4EBD5F65"/>
    <w:rsid w:val="4F027E1C"/>
    <w:rsid w:val="4F682550"/>
    <w:rsid w:val="51512C98"/>
    <w:rsid w:val="51FF131A"/>
    <w:rsid w:val="55EA33B8"/>
    <w:rsid w:val="59886344"/>
    <w:rsid w:val="5F0441B1"/>
    <w:rsid w:val="5F200575"/>
    <w:rsid w:val="613D23D3"/>
    <w:rsid w:val="64030141"/>
    <w:rsid w:val="655645C6"/>
    <w:rsid w:val="679D028A"/>
    <w:rsid w:val="68724DA1"/>
    <w:rsid w:val="6884144A"/>
    <w:rsid w:val="6BF1329A"/>
    <w:rsid w:val="6F1A6664"/>
    <w:rsid w:val="6F8561D3"/>
    <w:rsid w:val="71983729"/>
    <w:rsid w:val="722D4A04"/>
    <w:rsid w:val="725D3437"/>
    <w:rsid w:val="74F97F2D"/>
    <w:rsid w:val="75A4312B"/>
    <w:rsid w:val="78F739AF"/>
    <w:rsid w:val="7BA9149B"/>
    <w:rsid w:val="7BDF4EBD"/>
    <w:rsid w:val="7CB24380"/>
    <w:rsid w:val="7D123591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toc 5"/>
    <w:basedOn w:val="1"/>
    <w:next w:val="1"/>
    <w:qFormat/>
    <w:uiPriority w:val="0"/>
    <w:pPr>
      <w:widowControl w:val="0"/>
      <w:ind w:left="1680" w:leftChars="80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仿宋" w:hAnsi="仿宋" w:eastAsia="宋体" w:cs="Times New Roman"/>
      <w:kern w:val="0"/>
      <w:sz w:val="18"/>
      <w:szCs w:val="24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仿宋" w:hAnsi="仿宋" w:eastAsia="宋体" w:cs="Times New Roman"/>
      <w:kern w:val="0"/>
      <w:sz w:val="18"/>
      <w:szCs w:val="24"/>
      <w:lang w:val="en-US" w:eastAsia="zh-CN" w:bidi="ar-SA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4107</Words>
  <Characters>4629</Characters>
  <Lines>0</Lines>
  <Paragraphs>0</Paragraphs>
  <TotalTime>0</TotalTime>
  <ScaleCrop>false</ScaleCrop>
  <LinksUpToDate>false</LinksUpToDate>
  <CharactersWithSpaces>4954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Gat</cp:lastModifiedBy>
  <dcterms:modified xsi:type="dcterms:W3CDTF">2024-06-27T04:12:42Z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6182D3A10D564617983F46DEE354AEAF</vt:lpwstr>
  </property>
</Properties>
</file>