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61</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61</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60.02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7.56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45.53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45.53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14.49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8009.52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4063.14</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机关运行</w:t>
            </w:r>
            <w:r>
              <w:rPr>
                <w:rFonts w:hint="eastAsia" w:ascii="仿宋_GB2312" w:hAnsi="仿宋_GB2312" w:eastAsia="仿宋_GB2312" w:cs="仿宋_GB2312"/>
                <w:sz w:val="20"/>
                <w:szCs w:val="20"/>
                <w:highlight w:val="none"/>
              </w:rPr>
              <w:t>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exact"/>
              <w:jc w:val="center"/>
              <w:rPr>
                <w:rFonts w:hint="eastAsia" w:ascii="仿宋_GB2312" w:hAnsi="仿宋_GB2312" w:eastAsia="仿宋_GB2312" w:cs="仿宋_GB2312"/>
                <w:sz w:val="20"/>
                <w:szCs w:val="20"/>
                <w:highlight w:val="none"/>
                <w:shd w:val="clear" w:color="auto" w:fill="auto"/>
              </w:rPr>
            </w:pP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73.03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运行维护经费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exact"/>
              <w:jc w:val="center"/>
              <w:rPr>
                <w:rFonts w:hint="eastAsia" w:ascii="仿宋_GB2312" w:hAnsi="仿宋_GB2312" w:eastAsia="仿宋_GB2312" w:cs="仿宋_GB2312"/>
                <w:sz w:val="20"/>
                <w:szCs w:val="20"/>
                <w:highlight w:val="none"/>
                <w:shd w:val="clear" w:color="auto" w:fill="auto"/>
              </w:rPr>
            </w:pP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2022至2024年山水项目</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exact"/>
              <w:jc w:val="center"/>
              <w:rPr>
                <w:rFonts w:hint="eastAsia" w:ascii="仿宋_GB2312" w:hAnsi="仿宋_GB2312" w:eastAsia="仿宋_GB2312" w:cs="仿宋_GB2312"/>
                <w:sz w:val="20"/>
                <w:szCs w:val="20"/>
                <w:highlight w:val="none"/>
                <w:shd w:val="clear" w:color="auto" w:fill="auto"/>
              </w:rPr>
            </w:pP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130.00</w:t>
            </w: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108.18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“三区三线”统筹划定</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172.58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1433.33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农业用地统一上图入库</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70.36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土地出让专项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404.73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矿产资源整治</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211.30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地质灾害普适化</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856.94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耕地项目回头看</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124.41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基础测绘项目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491.97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控违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139.13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扶贫</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58.29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农村宅基地确认权登记</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62.2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科协</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6.35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地球日</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资规培训</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30.41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numPr>
                <w:ilvl w:val="0"/>
                <w:numId w:val="1"/>
              </w:numPr>
              <w:spacing w:line="360" w:lineRule="exact"/>
              <w:ind w:left="0" w:leftChars="0" w:firstLine="312" w:firstLineChars="0"/>
              <w:jc w:val="lef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田长制</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57.87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2261.74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149.75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999.14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1752.62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149.75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699.66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357.48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222.55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28.1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22.67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1375.06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9866.92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7831.96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1359.35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无</w:t>
            </w: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樊孟松</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2024.5.8</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07308691983</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岳阳市自然资源和规划局</w:t>
            </w:r>
            <w:r>
              <w:rPr>
                <w:rFonts w:hint="eastAsia" w:ascii="仿宋_GB2312" w:hAnsi="仿宋_GB2312" w:eastAsia="仿宋_GB2312" w:cs="仿宋_GB2312"/>
                <w:color w:val="000000"/>
                <w:sz w:val="20"/>
                <w:szCs w:val="20"/>
                <w:highlight w:val="none"/>
                <w:lang w:eastAsia="zh-CN"/>
              </w:rPr>
              <w:t>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1498.03</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6790.53</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6790.53</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r>
              <w:rPr>
                <w:rFonts w:hint="eastAsia" w:ascii="仿宋_GB2312" w:hAnsi="仿宋_GB2312" w:eastAsia="仿宋_GB2312" w:cs="仿宋_GB2312"/>
                <w:sz w:val="20"/>
                <w:szCs w:val="20"/>
                <w:highlight w:val="none"/>
                <w:lang w:val="en-US" w:eastAsia="zh-CN"/>
              </w:rPr>
              <w:t>6790.53</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r>
              <w:rPr>
                <w:rFonts w:hint="eastAsia" w:ascii="仿宋_GB2312" w:hAnsi="仿宋_GB2312" w:eastAsia="仿宋_GB2312" w:cs="仿宋_GB2312"/>
                <w:sz w:val="20"/>
                <w:szCs w:val="20"/>
                <w:highlight w:val="none"/>
                <w:lang w:val="en-US" w:eastAsia="zh-CN"/>
              </w:rPr>
              <w:t>6790.53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sz w:val="20"/>
                <w:szCs w:val="20"/>
                <w:highlight w:val="none"/>
                <w:lang w:val="en-US" w:eastAsia="zh-CN"/>
              </w:rPr>
              <w:t>6608.16</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2727.38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4063.14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182.37</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kinsoku w:val="0"/>
              <w:autoSpaceDE w:val="0"/>
              <w:autoSpaceDN w:val="0"/>
              <w:adjustRightInd w:val="0"/>
              <w:snapToGrid w:val="0"/>
              <w:spacing w:line="240" w:lineRule="exact"/>
              <w:jc w:val="left"/>
              <w:textAlignment w:val="baseline"/>
              <w:rPr>
                <w:rFonts w:hint="eastAsia" w:ascii="Arial" w:hAnsi="Arial" w:cs="Arial"/>
                <w:b/>
                <w:bCs/>
                <w:snapToGrid w:val="0"/>
                <w:color w:val="000000"/>
                <w:kern w:val="0"/>
                <w:sz w:val="20"/>
                <w:szCs w:val="21"/>
              </w:rPr>
            </w:pPr>
            <w:r>
              <w:rPr>
                <w:rFonts w:hint="eastAsia" w:ascii="Arial" w:hAnsi="Arial" w:cs="Arial"/>
                <w:b/>
                <w:bCs/>
                <w:snapToGrid w:val="0"/>
                <w:color w:val="000000"/>
                <w:kern w:val="0"/>
                <w:sz w:val="20"/>
                <w:szCs w:val="21"/>
                <w:lang w:eastAsia="zh-CN"/>
              </w:rPr>
              <w:t>一</w:t>
            </w:r>
            <w:r>
              <w:rPr>
                <w:rFonts w:hint="eastAsia" w:ascii="Arial" w:hAnsi="Arial" w:cs="Arial"/>
                <w:b/>
                <w:bCs/>
                <w:snapToGrid w:val="0"/>
                <w:color w:val="000000"/>
                <w:kern w:val="0"/>
                <w:sz w:val="20"/>
                <w:szCs w:val="21"/>
              </w:rPr>
              <w:t>、规划编制方面</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1、强化国土空间规划支撑，构建国土空间规划体系；</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2、积极推进中心城区控制性详细规划编制；</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3、稳步推进村庄规划编制。</w:t>
            </w:r>
          </w:p>
          <w:p>
            <w:pPr>
              <w:widowControl/>
              <w:kinsoku w:val="0"/>
              <w:autoSpaceDE w:val="0"/>
              <w:autoSpaceDN w:val="0"/>
              <w:adjustRightInd w:val="0"/>
              <w:snapToGrid w:val="0"/>
              <w:spacing w:line="240" w:lineRule="exact"/>
              <w:jc w:val="left"/>
              <w:textAlignment w:val="baseline"/>
              <w:rPr>
                <w:rFonts w:hint="eastAsia" w:ascii="Arial" w:hAnsi="Arial" w:cs="Arial"/>
                <w:b/>
                <w:bCs/>
                <w:snapToGrid w:val="0"/>
                <w:color w:val="000000"/>
                <w:kern w:val="0"/>
                <w:sz w:val="20"/>
                <w:szCs w:val="21"/>
              </w:rPr>
            </w:pPr>
            <w:r>
              <w:rPr>
                <w:rFonts w:hint="eastAsia" w:ascii="Arial" w:hAnsi="Arial" w:cs="Arial"/>
                <w:b/>
                <w:bCs/>
                <w:snapToGrid w:val="0"/>
                <w:color w:val="000000"/>
                <w:kern w:val="0"/>
                <w:sz w:val="20"/>
                <w:szCs w:val="21"/>
              </w:rPr>
              <w:t>二、统筹自然要素保障，助推经济稳进提质、优化营商环境方面</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1、推动政策红利转化为发展实效；</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2、推进“三资”运作改革，助力财源建设；</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3、推动土地节约集约高效利用、盘活存量资产；</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4、深化“放管服”改革，全面优化营商环境。</w:t>
            </w:r>
          </w:p>
          <w:p>
            <w:pPr>
              <w:widowControl/>
              <w:kinsoku w:val="0"/>
              <w:autoSpaceDE w:val="0"/>
              <w:autoSpaceDN w:val="0"/>
              <w:adjustRightInd w:val="0"/>
              <w:snapToGrid w:val="0"/>
              <w:spacing w:line="240" w:lineRule="exact"/>
              <w:jc w:val="left"/>
              <w:textAlignment w:val="baseline"/>
              <w:rPr>
                <w:rFonts w:hint="eastAsia" w:ascii="Arial" w:hAnsi="Arial" w:cs="Arial"/>
                <w:b/>
                <w:bCs/>
                <w:snapToGrid w:val="0"/>
                <w:color w:val="000000"/>
                <w:kern w:val="0"/>
                <w:sz w:val="20"/>
                <w:szCs w:val="21"/>
              </w:rPr>
            </w:pPr>
            <w:r>
              <w:rPr>
                <w:rFonts w:hint="eastAsia" w:ascii="Arial" w:hAnsi="Arial" w:cs="Arial"/>
                <w:b/>
                <w:bCs/>
                <w:snapToGrid w:val="0"/>
                <w:color w:val="000000"/>
                <w:kern w:val="0"/>
                <w:sz w:val="20"/>
                <w:szCs w:val="21"/>
              </w:rPr>
              <w:t>三、严守耕地保护红线，遏制耕地“非农化”“非粮化”方面</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1、扛牢责任守田；</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2、强化管控护田。</w:t>
            </w:r>
          </w:p>
          <w:p>
            <w:pPr>
              <w:widowControl/>
              <w:kinsoku w:val="0"/>
              <w:autoSpaceDE w:val="0"/>
              <w:autoSpaceDN w:val="0"/>
              <w:adjustRightInd w:val="0"/>
              <w:snapToGrid w:val="0"/>
              <w:spacing w:line="240" w:lineRule="exact"/>
              <w:jc w:val="left"/>
              <w:textAlignment w:val="baseline"/>
              <w:rPr>
                <w:rFonts w:hint="eastAsia" w:ascii="Arial" w:hAnsi="Arial" w:cs="Arial"/>
                <w:b/>
                <w:bCs/>
                <w:snapToGrid w:val="0"/>
                <w:color w:val="000000"/>
                <w:kern w:val="0"/>
                <w:sz w:val="20"/>
                <w:szCs w:val="21"/>
              </w:rPr>
            </w:pPr>
            <w:r>
              <w:rPr>
                <w:rFonts w:hint="eastAsia" w:ascii="Arial" w:hAnsi="Arial" w:cs="Arial"/>
                <w:b/>
                <w:bCs/>
                <w:snapToGrid w:val="0"/>
                <w:color w:val="000000"/>
                <w:kern w:val="0"/>
                <w:sz w:val="20"/>
                <w:szCs w:val="21"/>
              </w:rPr>
              <w:t>四、地灾防治、不动产登记服务、信访问题化解及禁拆治违方面</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1、地灾防治，积极开展全市共举办应急避险演练，持续保持地灾隐患点“零死亡”；</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2、提升不动产登记服务；</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3、完成禁拆治违整治行动；</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4、加强生态保护修复，不断深化生态治理。</w:t>
            </w:r>
          </w:p>
          <w:p>
            <w:pPr>
              <w:widowControl/>
              <w:kinsoku w:val="0"/>
              <w:autoSpaceDE w:val="0"/>
              <w:autoSpaceDN w:val="0"/>
              <w:adjustRightInd w:val="0"/>
              <w:snapToGrid w:val="0"/>
              <w:spacing w:line="240" w:lineRule="exact"/>
              <w:jc w:val="left"/>
              <w:textAlignment w:val="baseline"/>
              <w:rPr>
                <w:rFonts w:hint="eastAsia" w:ascii="Arial" w:hAnsi="Arial" w:cs="Arial"/>
                <w:b/>
                <w:bCs/>
                <w:snapToGrid w:val="0"/>
                <w:color w:val="000000"/>
                <w:kern w:val="0"/>
                <w:sz w:val="20"/>
                <w:szCs w:val="21"/>
              </w:rPr>
            </w:pPr>
            <w:r>
              <w:rPr>
                <w:rFonts w:hint="eastAsia" w:ascii="Arial" w:hAnsi="Arial" w:cs="Arial"/>
                <w:b/>
                <w:bCs/>
                <w:snapToGrid w:val="0"/>
                <w:color w:val="000000"/>
                <w:kern w:val="0"/>
                <w:sz w:val="20"/>
                <w:szCs w:val="21"/>
              </w:rPr>
              <w:t>五、党建及廉政建设方面</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1、政治立场；</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2、巩固基层党建，开展“主题党日”活动，扎实推进“我为群众办实事”实践活动，组织开展宣讲比赛活动，评选表彰“一先两优”；</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3、意识形态，完善《岳阳市自然资源和规划局落实意识形态工作责任制》，加强了网络舆论管控，及时清理解散“僵尸”QQ工作群，推动“学习强国”平台深化应用；</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4、廉政建设，切实履行党风廉政建设主体责任和“一岗双责”，开展廉政谈话，观看廉政电视教育片2次，严格执纪问责。</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kern w:val="0"/>
                <w:sz w:val="20"/>
                <w:szCs w:val="20"/>
                <w:lang w:val="en-US" w:eastAsia="zh-CN" w:bidi="ar-SA"/>
              </w:rPr>
              <w:t>1、</w:t>
            </w:r>
            <w:r>
              <w:rPr>
                <w:rFonts w:hint="eastAsia" w:ascii="仿宋_GB2312" w:hAnsi="仿宋_GB2312" w:eastAsia="仿宋_GB2312" w:cs="仿宋_GB2312"/>
                <w:color w:val="000000"/>
                <w:sz w:val="20"/>
                <w:szCs w:val="20"/>
                <w:highlight w:val="none"/>
                <w:lang w:val="en-US" w:eastAsia="zh-CN"/>
              </w:rPr>
              <w:t>切实提升规划水平，优化城市功能布局，加强城市风貌管控，大力改造城中村，适当外迁部分城市功能，适度降低人口密度，优化城市路网结构，缓解交通拥堵状况。</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kern w:val="0"/>
                <w:sz w:val="20"/>
                <w:szCs w:val="20"/>
                <w:lang w:val="en-US" w:eastAsia="zh-CN" w:bidi="ar-SA"/>
              </w:rPr>
              <w:t>2、</w:t>
            </w:r>
            <w:r>
              <w:rPr>
                <w:rFonts w:hint="eastAsia" w:ascii="仿宋_GB2312" w:hAnsi="仿宋_GB2312" w:eastAsia="仿宋_GB2312" w:cs="仿宋_GB2312"/>
                <w:color w:val="000000"/>
                <w:sz w:val="20"/>
                <w:szCs w:val="20"/>
                <w:highlight w:val="none"/>
                <w:lang w:val="en-US" w:eastAsia="zh-CN"/>
              </w:rPr>
              <w:t>加快推进洞庭湖生态经济区建设，推动城乡融合、区域协调发展；学好用好“千万工程”经验，统筹推进村庄规划编制，实现乡村地区用途管制依据全覆盖。</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kern w:val="0"/>
                <w:sz w:val="20"/>
                <w:szCs w:val="20"/>
                <w:lang w:val="en-US" w:eastAsia="zh-CN" w:bidi="ar-SA"/>
              </w:rPr>
              <w:t>3、</w:t>
            </w:r>
            <w:r>
              <w:rPr>
                <w:rFonts w:hint="eastAsia" w:ascii="仿宋_GB2312" w:hAnsi="仿宋_GB2312" w:eastAsia="仿宋_GB2312" w:cs="仿宋_GB2312"/>
                <w:color w:val="000000"/>
                <w:sz w:val="20"/>
                <w:szCs w:val="20"/>
                <w:highlight w:val="none"/>
                <w:lang w:val="en-US" w:eastAsia="zh-CN"/>
              </w:rPr>
              <w:t>开展批而未供和闲置土地处置攻坚行动，提高土地利用的社会效益、经济效益和生态效益；统筹推进存量用地布局、结构、功能“三优化”，聚焦高铁站、己内酰胺、赶山片区谋划土地储备与出让工作，加快完成土壤污染治理工作；严格把关集体建设用地和临时用地审批，抓好源头管控，确保批准用地合法有效。</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kern w:val="0"/>
                <w:sz w:val="20"/>
                <w:szCs w:val="20"/>
                <w:lang w:val="en-US" w:eastAsia="zh-CN" w:bidi="ar-SA"/>
              </w:rPr>
              <w:t>4、</w:t>
            </w:r>
            <w:r>
              <w:rPr>
                <w:rFonts w:hint="eastAsia" w:ascii="仿宋_GB2312" w:hAnsi="仿宋_GB2312" w:eastAsia="仿宋_GB2312" w:cs="仿宋_GB2312"/>
                <w:color w:val="000000"/>
                <w:sz w:val="20"/>
                <w:szCs w:val="20"/>
                <w:highlight w:val="none"/>
                <w:lang w:val="en-US" w:eastAsia="zh-CN"/>
              </w:rPr>
              <w:t>靠前谋划、全力落实中央经济工作会议提出的加快推进“三大工程”有关部署要求，坚持抓产业、促发展，围绕我市建设“1+3+X”现代化产业体系，以高水平保障支撑高质量现代产业发展。聚焦三荷机场改扩建、G107公路岳阳段改扩建等国省重大项目用地要素保障工作。不断完善综合物流体系，做港口经济，充分发挥岳阳通江达海的特有优势。</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kern w:val="0"/>
                <w:sz w:val="20"/>
                <w:szCs w:val="20"/>
                <w:lang w:val="en-US" w:eastAsia="zh-CN" w:bidi="ar-SA"/>
              </w:rPr>
              <w:t>5、</w:t>
            </w:r>
            <w:r>
              <w:rPr>
                <w:rFonts w:hint="eastAsia" w:ascii="仿宋_GB2312" w:hAnsi="仿宋_GB2312" w:eastAsia="仿宋_GB2312" w:cs="仿宋_GB2312"/>
                <w:color w:val="000000"/>
                <w:sz w:val="20"/>
                <w:szCs w:val="20"/>
                <w:highlight w:val="none"/>
                <w:lang w:val="en-US" w:eastAsia="zh-CN"/>
              </w:rPr>
              <w:t>运用好“土地超市”招商云系统，积极推动存量资产与增量资产有效循环。不断优化发展环境。</w:t>
            </w:r>
          </w:p>
          <w:p>
            <w:pPr>
              <w:widowControl/>
              <w:numPr>
                <w:ilvl w:val="0"/>
                <w:numId w:val="0"/>
              </w:numPr>
              <w:spacing w:line="240" w:lineRule="exact"/>
              <w:ind w:left="0" w:leftChars="0" w:firstLine="0" w:firstLineChars="0"/>
              <w:jc w:val="left"/>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kern w:val="0"/>
                <w:sz w:val="20"/>
                <w:szCs w:val="20"/>
                <w:lang w:val="en-US" w:eastAsia="zh-CN" w:bidi="ar-SA"/>
              </w:rPr>
              <w:t>6、</w:t>
            </w:r>
            <w:r>
              <w:rPr>
                <w:rFonts w:hint="eastAsia" w:ascii="仿宋_GB2312" w:hAnsi="仿宋_GB2312" w:eastAsia="仿宋_GB2312" w:cs="仿宋_GB2312"/>
                <w:color w:val="000000"/>
                <w:sz w:val="20"/>
                <w:szCs w:val="20"/>
                <w:highlight w:val="none"/>
                <w:lang w:val="en-US" w:eastAsia="zh-CN"/>
              </w:rPr>
              <w:t>加强绿色矿山监管和历史遗留废弃矿山生态修复，有序开展全域土地综合整治省级试点工程实施；强化矿产资源勘查和有效供给力度，稳步推进采矿权出让，促进优质资源有效整合，打造优势矿业产业链。</w:t>
            </w:r>
          </w:p>
          <w:p>
            <w:pPr>
              <w:widowControl/>
              <w:numPr>
                <w:ilvl w:val="0"/>
                <w:numId w:val="0"/>
              </w:numPr>
              <w:spacing w:line="240" w:lineRule="exact"/>
              <w:ind w:left="0" w:leftChars="0" w:firstLine="0" w:firstLineChars="0"/>
              <w:jc w:val="left"/>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kern w:val="0"/>
                <w:sz w:val="20"/>
                <w:szCs w:val="20"/>
                <w:lang w:val="en-US" w:eastAsia="zh-CN" w:bidi="ar-SA"/>
              </w:rPr>
              <w:t>7、</w:t>
            </w:r>
            <w:r>
              <w:rPr>
                <w:rFonts w:hint="eastAsia" w:ascii="仿宋_GB2312" w:hAnsi="仿宋_GB2312" w:eastAsia="仿宋_GB2312" w:cs="仿宋_GB2312"/>
                <w:color w:val="000000"/>
                <w:sz w:val="20"/>
                <w:szCs w:val="20"/>
                <w:highlight w:val="none"/>
                <w:lang w:val="en-US" w:eastAsia="zh-CN"/>
              </w:rPr>
              <w:t>“三地两矿”总结，坚决遏制耕地“非粮化”“非农化”和抛荒现象，严格控制建设占用耕地，严厉打击各类违法乱占耕地行为，强力推进各项督察反馈问题整改，不断提高卫片执法质效。</w:t>
            </w:r>
          </w:p>
          <w:p>
            <w:pPr>
              <w:widowControl/>
              <w:numPr>
                <w:ilvl w:val="0"/>
                <w:numId w:val="0"/>
              </w:numPr>
              <w:spacing w:line="240" w:lineRule="exact"/>
              <w:ind w:left="0" w:leftChars="0" w:firstLine="0" w:firstLineChars="0"/>
              <w:jc w:val="left"/>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kern w:val="0"/>
                <w:sz w:val="20"/>
                <w:szCs w:val="20"/>
                <w:lang w:val="en-US" w:eastAsia="zh-CN" w:bidi="ar-SA"/>
              </w:rPr>
              <w:t>8、</w:t>
            </w:r>
            <w:r>
              <w:rPr>
                <w:rFonts w:hint="default" w:ascii="仿宋_GB2312" w:hAnsi="仿宋_GB2312" w:eastAsia="仿宋_GB2312" w:cs="仿宋_GB2312"/>
                <w:color w:val="000000"/>
                <w:sz w:val="20"/>
                <w:szCs w:val="20"/>
                <w:highlight w:val="none"/>
                <w:lang w:val="en-US" w:eastAsia="zh-CN"/>
              </w:rPr>
              <w:t>抓牢抓实地灾防治工作，守住“零死亡”底线；统筹推进违法建设治理和自建房排查整治工作，以安全隐患排查推进违法建设治理，以违法建设治理彻底消除安全隐患</w:t>
            </w:r>
            <w:r>
              <w:rPr>
                <w:rFonts w:hint="eastAsia" w:ascii="仿宋_GB2312" w:hAnsi="仿宋_GB2312" w:eastAsia="仿宋_GB2312" w:cs="仿宋_GB2312"/>
                <w:color w:val="000000"/>
                <w:sz w:val="20"/>
                <w:szCs w:val="20"/>
                <w:highlight w:val="none"/>
                <w:lang w:val="en-US" w:eastAsia="zh-CN"/>
              </w:rPr>
              <w:t>。</w:t>
            </w:r>
          </w:p>
          <w:p>
            <w:pPr>
              <w:widowControl/>
              <w:numPr>
                <w:ilvl w:val="0"/>
                <w:numId w:val="0"/>
              </w:numPr>
              <w:spacing w:line="240" w:lineRule="exact"/>
              <w:ind w:left="0" w:leftChars="0" w:firstLine="0" w:firstLineChars="0"/>
              <w:jc w:val="left"/>
              <w:rPr>
                <w:rFonts w:hint="eastAsia"/>
                <w:lang w:eastAsia="zh-CN"/>
              </w:rPr>
            </w:pPr>
            <w:r>
              <w:rPr>
                <w:rFonts w:hint="default" w:ascii="仿宋_GB2312" w:hAnsi="仿宋_GB2312" w:eastAsia="仿宋_GB2312" w:cs="仿宋_GB2312"/>
                <w:color w:val="000000"/>
                <w:sz w:val="20"/>
                <w:szCs w:val="20"/>
                <w:highlight w:val="none"/>
                <w:lang w:val="en-US" w:eastAsia="zh-CN"/>
              </w:rPr>
              <w:t>9、</w:t>
            </w:r>
            <w:r>
              <w:rPr>
                <w:rFonts w:hint="eastAsia" w:ascii="仿宋_GB2312" w:hAnsi="仿宋_GB2312" w:eastAsia="仿宋_GB2312" w:cs="仿宋_GB2312"/>
                <w:color w:val="000000"/>
                <w:sz w:val="20"/>
                <w:szCs w:val="20"/>
                <w:highlight w:val="none"/>
                <w:lang w:val="en-US" w:eastAsia="zh-CN"/>
              </w:rPr>
              <w:t>持续推进主题教育走深走实，在以学铸魂、以学增智、以学正风、以学促干上取得新成效，深化“走找想促”调研活动，聚焦“表现在基层、根子在上面”问题开展调研，着力将调研成果转化为坚定信仰、砥砺党性、忠诚履职的实际行动。加强干部队伍建设，坚持政治导向、业绩导向、考核导向，严格干部监管，建立年轻干部跟踪管理机制，完善干部考核评价体系，推动干部能上能下、能进能出，形成能者上、优者奖、庸者下、劣者汰的良好局面。坚持全面从严治党。拓展“清廉资规”建设成效，把加强新时代作风建设作为一体推进“三不腐”的基础性工程抓紧抓实抓好，推动全面从严治党向纵深发展。</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耕地目标控制数</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519.84万亩</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永久基本农田目标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459.20万亩</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脱贫攻坚</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控违工作常态化</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突发任务处理效率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全面落实田长制</w:t>
            </w:r>
          </w:p>
        </w:tc>
        <w:tc>
          <w:tcPr>
            <w:tcW w:w="131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信访工作及时办结率</w:t>
            </w:r>
          </w:p>
        </w:tc>
        <w:tc>
          <w:tcPr>
            <w:tcW w:w="131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完成生态保护及修复省、市指标任务</w:t>
            </w:r>
          </w:p>
        </w:tc>
        <w:tc>
          <w:tcPr>
            <w:tcW w:w="131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质灾害隐患点“零死亡”</w:t>
            </w:r>
          </w:p>
        </w:tc>
        <w:tc>
          <w:tcPr>
            <w:tcW w:w="131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所有来信来访及时答复</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top"/>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突发任务处理</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按时完成年度总目标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2023/12/31</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2023/12/31</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全年预算资金控制在预算内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持续优化营商环境暨经济发展，助推岳阳高质量发展。</w:t>
            </w:r>
          </w:p>
        </w:tc>
        <w:tc>
          <w:tcPr>
            <w:tcW w:w="131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明显</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明显</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乡村振兴、驻村帮扶</w:t>
            </w:r>
          </w:p>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hAnsi="仿宋_GB2312" w:eastAsia="仿宋_GB2312" w:cs="仿宋_GB2312"/>
                <w:color w:val="000000"/>
                <w:sz w:val="20"/>
                <w:szCs w:val="20"/>
                <w:highlight w:val="none"/>
              </w:rPr>
              <w:t>和耕地保护</w:t>
            </w:r>
            <w:r>
              <w:rPr>
                <w:rFonts w:hint="eastAsia" w:ascii="仿宋_GB2312" w:hAnsi="仿宋_GB2312" w:eastAsia="仿宋_GB2312" w:cs="仿宋_GB2312"/>
                <w:color w:val="000000"/>
                <w:sz w:val="20"/>
                <w:szCs w:val="20"/>
                <w:highlight w:val="none"/>
                <w:lang w:eastAsia="zh-CN"/>
              </w:rPr>
              <w:t>，为岳阳高质量发展提供有力服务保障</w:t>
            </w:r>
          </w:p>
        </w:tc>
        <w:tc>
          <w:tcPr>
            <w:tcW w:w="131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明显</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明显</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地球日、土地日等活动与宣传，引导群众正确认识环境污染的危害，保护生态环境。</w:t>
            </w:r>
          </w:p>
        </w:tc>
        <w:tc>
          <w:tcPr>
            <w:tcW w:w="131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明显</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明显</w:t>
            </w:r>
          </w:p>
        </w:tc>
        <w:tc>
          <w:tcPr>
            <w:tcW w:w="7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清廉创建活动</w:t>
            </w:r>
            <w:r>
              <w:rPr>
                <w:rFonts w:hint="eastAsia" w:ascii="仿宋_GB2312" w:hAnsi="仿宋_GB2312" w:eastAsia="仿宋_GB2312" w:cs="仿宋_GB2312"/>
                <w:color w:val="000000"/>
                <w:sz w:val="20"/>
                <w:szCs w:val="20"/>
                <w:highlight w:val="none"/>
                <w:lang w:eastAsia="zh-CN"/>
              </w:rPr>
              <w:t>开展</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清廉创建活动</w:t>
            </w:r>
            <w:r>
              <w:rPr>
                <w:rFonts w:hint="eastAsia" w:ascii="仿宋_GB2312" w:hAnsi="仿宋_GB2312" w:eastAsia="仿宋_GB2312" w:cs="仿宋_GB2312"/>
                <w:color w:val="000000"/>
                <w:sz w:val="20"/>
                <w:szCs w:val="20"/>
                <w:highlight w:val="none"/>
                <w:lang w:eastAsia="zh-CN"/>
              </w:rPr>
              <w:t>开展</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加强清廉建设</w:t>
            </w:r>
            <w:r>
              <w:rPr>
                <w:rFonts w:hint="eastAsia" w:ascii="仿宋_GB2312" w:hAnsi="仿宋_GB2312" w:eastAsia="仿宋_GB2312" w:cs="仿宋_GB2312"/>
                <w:color w:val="000000"/>
                <w:sz w:val="20"/>
                <w:szCs w:val="20"/>
                <w:highlight w:val="none"/>
                <w:lang w:eastAsia="zh-CN"/>
              </w:rPr>
              <w:t>，提升清廉建设水平，助推资规事业高质量发展。</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top"/>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生态修复治理，历史遗留矿山生态修复任务</w:t>
            </w:r>
            <w:r>
              <w:rPr>
                <w:rFonts w:hint="eastAsia" w:ascii="仿宋_GB2312" w:eastAsia="仿宋_GB2312" w:cs="仿宋_GB2312"/>
                <w:color w:val="212529"/>
                <w:sz w:val="20"/>
                <w:szCs w:val="20"/>
                <w:lang w:eastAsia="zh-CN"/>
              </w:rPr>
              <w:t>符合审批要求</w:t>
            </w:r>
          </w:p>
        </w:tc>
        <w:tc>
          <w:tcPr>
            <w:tcW w:w="131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符合</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符合</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ind w:firstLine="0" w:firstLineChars="0"/>
              <w:jc w:val="center"/>
              <w:rPr>
                <w:rFonts w:hint="eastAsia" w:ascii="仿宋_GB2312" w:eastAsia="仿宋_GB2312" w:cs="仿宋_GB2312"/>
                <w:color w:val="212529"/>
                <w:sz w:val="20"/>
                <w:szCs w:val="20"/>
                <w:lang w:val="en-US" w:eastAsia="zh-CN"/>
              </w:rPr>
            </w:pPr>
            <w:r>
              <w:rPr>
                <w:rFonts w:hint="eastAsia" w:ascii="仿宋_GB2312" w:eastAsia="仿宋_GB2312" w:cs="仿宋_GB2312"/>
                <w:color w:val="212529"/>
                <w:sz w:val="20"/>
                <w:szCs w:val="20"/>
                <w:lang w:val="en-US" w:eastAsia="zh-CN"/>
              </w:rPr>
              <w:t>建设项目适应未来一定时期的需求</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default" w:ascii="仿宋_GB2312" w:eastAsia="仿宋_GB2312" w:cs="仿宋_GB2312"/>
                <w:color w:val="212529"/>
                <w:sz w:val="20"/>
                <w:szCs w:val="20"/>
                <w:lang w:val="en-US" w:eastAsia="zh-CN"/>
              </w:rPr>
            </w:pPr>
            <w:r>
              <w:rPr>
                <w:rFonts w:hint="eastAsia" w:ascii="仿宋_GB2312" w:eastAsia="仿宋_GB2312" w:cs="仿宋_GB2312"/>
                <w:color w:val="212529"/>
                <w:sz w:val="20"/>
                <w:szCs w:val="20"/>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default" w:ascii="仿宋_GB2312" w:eastAsia="仿宋_GB2312" w:cs="仿宋_GB2312"/>
                <w:color w:val="212529"/>
                <w:sz w:val="20"/>
                <w:szCs w:val="20"/>
                <w:lang w:val="en-US" w:eastAsia="zh-CN"/>
              </w:rPr>
            </w:pPr>
            <w:r>
              <w:rPr>
                <w:rFonts w:hint="eastAsia" w:ascii="仿宋_GB2312" w:eastAsia="仿宋_GB2312" w:cs="仿宋_GB2312"/>
                <w:color w:val="212529"/>
                <w:sz w:val="20"/>
                <w:szCs w:val="20"/>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信访办结回复满意率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31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90%</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98%</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樊孟松</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2024.5.8</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07308691983</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58"/>
        <w:gridCol w:w="1060"/>
        <w:gridCol w:w="1050"/>
        <w:gridCol w:w="1205"/>
        <w:gridCol w:w="1216"/>
        <w:gridCol w:w="1216"/>
        <w:gridCol w:w="813"/>
        <w:gridCol w:w="861"/>
        <w:gridCol w:w="1372"/>
      </w:tblGrid>
      <w:tr>
        <w:tblPrEx>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3"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2022至2024年山水项目</w:t>
            </w:r>
          </w:p>
        </w:tc>
      </w:tr>
      <w:tr>
        <w:tblPrEx>
          <w:tblCellMar>
            <w:top w:w="0" w:type="dxa"/>
            <w:left w:w="108" w:type="dxa"/>
            <w:bottom w:w="0" w:type="dxa"/>
            <w:right w:w="108" w:type="dxa"/>
          </w:tblCellMar>
        </w:tblPrEx>
        <w:trPr>
          <w:jc w:val="center"/>
        </w:trPr>
        <w:tc>
          <w:tcPr>
            <w:tcW w:w="10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3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岳阳市自然资源和规划局</w:t>
            </w:r>
          </w:p>
        </w:tc>
        <w:tc>
          <w:tcPr>
            <w:tcW w:w="121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4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岳阳市自然资源和规划局</w:t>
            </w: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247" w:hRule="atLeast"/>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130.00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108.18</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108.18</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0" w:name="_GoBack" w:colFirst="3" w:colLast="5"/>
          </w:p>
        </w:tc>
        <w:tc>
          <w:tcPr>
            <w:tcW w:w="2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130.00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108.18</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108.18</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0"/>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3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3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我市湖南长江流域洞庭湖区域山水林田湖草沙一体化保护和修复工程项目（简称山水项目）位于洞庭湖湖滨缓冲带、环洞庭湖农田服务功能提升带、洞庭湖外围山地森林屏障带范围内，涉及环洞庭湖湖滨缓冲带生态修复单元、四口水系生态廊道建设与面源污染治理单元、四水尾闾水系生态廊道与城镇生态网络建设单元、汨罗江——新墙河中下游面源污染治理单元及幕阜山水源涵养及生物多样性保护修复单元。通过实施这些项目工程最终实现“一降三增强”，即降低洞庭湖湖体总磷浓度、增强环洞庭湖湖滨缓冲带功能、增强环洞庭湖农田服务功能、增强洞庭湖外围山地森林屏障功能的总体目标。　　</w:t>
            </w:r>
          </w:p>
        </w:tc>
        <w:tc>
          <w:tcPr>
            <w:tcW w:w="4262"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自</w:t>
            </w:r>
            <w:r>
              <w:rPr>
                <w:rFonts w:hint="eastAsia" w:ascii="仿宋_GB2312" w:hAnsi="仿宋_GB2312" w:eastAsia="仿宋_GB2312" w:cs="仿宋_GB2312"/>
                <w:color w:val="000000"/>
                <w:sz w:val="20"/>
                <w:szCs w:val="20"/>
                <w:highlight w:val="none"/>
              </w:rPr>
              <w:t>项目实施以来，共修复历史遗留矿山91.22公顷、水域治理400公顷、岸（堤）坡岸线生</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态整治11.5公里、水系连通12公里、湿地生态修复4</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公顷、绿地面积增加6.6公顷，有效降低了水土流失、矿山生态环境恶化、水质恶化风险，稳定了森林覆盖率，系统提升了生产生活环境与水安全保障能力；有力推进生态绿色发展，全面改善灌溉面积41.89万亩、新增优质水资源</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保障人口5万人，受益人口22.8万人</w:t>
            </w:r>
            <w:r>
              <w:rPr>
                <w:rFonts w:hint="eastAsia" w:ascii="仿宋_GB2312" w:hAnsi="仿宋_GB2312" w:eastAsia="仿宋_GB2312" w:cs="仿宋_GB2312"/>
                <w:color w:val="000000"/>
                <w:sz w:val="20"/>
                <w:szCs w:val="20"/>
                <w:highlight w:val="none"/>
                <w:lang w:eastAsia="zh-CN"/>
              </w:rPr>
              <w:t>。</w:t>
            </w:r>
          </w:p>
        </w:tc>
      </w:tr>
      <w:tr>
        <w:tblPrEx>
          <w:tblCellMar>
            <w:top w:w="0" w:type="dxa"/>
            <w:left w:w="108" w:type="dxa"/>
            <w:bottom w:w="0" w:type="dxa"/>
            <w:right w:w="108" w:type="dxa"/>
          </w:tblCellMar>
        </w:tblPrEx>
        <w:trPr>
          <w:jc w:val="center"/>
        </w:trPr>
        <w:tc>
          <w:tcPr>
            <w:tcW w:w="105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矿山修复面积</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91.22公顷</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91.22公顷</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水域治理面积</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400公顷</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400公顷</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湿地修复面积</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5公顷</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5公顷</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绿地增加面积</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6.6公顷</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6.6公顷</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完成生态保护及修复省、市指标任务</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05"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突发任务处理</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及时</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及时</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按时完成年度总目标</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2023/12/31</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2023/12/31</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napToGrid w:val="0"/>
                <w:color w:val="000000"/>
                <w:kern w:val="0"/>
                <w:sz w:val="20"/>
                <w:szCs w:val="21"/>
              </w:rPr>
              <w:t>全</w:t>
            </w:r>
            <w:r>
              <w:rPr>
                <w:rFonts w:hint="eastAsia" w:ascii="仿宋_GB2312" w:hAnsi="仿宋_GB2312" w:eastAsia="仿宋_GB2312" w:cs="仿宋_GB2312"/>
                <w:snapToGrid w:val="0"/>
                <w:color w:val="000000"/>
                <w:kern w:val="0"/>
                <w:sz w:val="20"/>
                <w:szCs w:val="21"/>
                <w:lang w:eastAsia="zh-CN"/>
              </w:rPr>
              <w:t>年</w:t>
            </w:r>
            <w:r>
              <w:rPr>
                <w:rFonts w:hint="eastAsia" w:ascii="仿宋_GB2312" w:hAnsi="仿宋_GB2312" w:eastAsia="仿宋_GB2312" w:cs="仿宋_GB2312"/>
                <w:snapToGrid w:val="0"/>
                <w:color w:val="000000"/>
                <w:kern w:val="0"/>
                <w:sz w:val="20"/>
                <w:szCs w:val="21"/>
              </w:rPr>
              <w:t>预算资金控制</w:t>
            </w:r>
            <w:r>
              <w:rPr>
                <w:rFonts w:hint="eastAsia" w:ascii="仿宋_GB2312" w:hAnsi="仿宋_GB2312" w:eastAsia="仿宋_GB2312" w:cs="仿宋_GB2312"/>
                <w:snapToGrid w:val="0"/>
                <w:color w:val="000000"/>
                <w:kern w:val="0"/>
                <w:sz w:val="20"/>
                <w:szCs w:val="21"/>
                <w:lang w:eastAsia="zh-CN"/>
              </w:rPr>
              <w:t>在预算内</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5"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通过活动与宣传，引导群众正确认识环境污染的危害，保护生态环境。</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明显</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明显</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5" w:type="dxa"/>
            <w:tcBorders>
              <w:top w:val="nil"/>
              <w:left w:val="nil"/>
              <w:bottom w:val="single" w:color="auto" w:sz="4" w:space="0"/>
              <w:right w:val="single" w:color="auto" w:sz="4" w:space="0"/>
            </w:tcBorders>
            <w:noWrap w:val="0"/>
            <w:vAlign w:val="top"/>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生态修复治理，历史遗留矿山生态修复任务</w:t>
            </w:r>
            <w:r>
              <w:rPr>
                <w:rFonts w:hint="eastAsia" w:ascii="仿宋_GB2312" w:eastAsia="仿宋_GB2312" w:cs="仿宋_GB2312"/>
                <w:color w:val="212529"/>
                <w:sz w:val="20"/>
                <w:szCs w:val="20"/>
                <w:lang w:eastAsia="zh-CN"/>
              </w:rPr>
              <w:t>符合审批要求</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符合</w:t>
            </w:r>
          </w:p>
        </w:tc>
        <w:tc>
          <w:tcPr>
            <w:tcW w:w="1216"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符合</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0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建设项目适应未来一定时期的需求</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100%</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100%</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群众满意度</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805"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樊孟松</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2024.5.8</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07308691983</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szCs w:val="22"/>
          <w:highlight w:val="none"/>
        </w:rPr>
        <w:br w:type="page"/>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“三区三线”</w:t>
            </w:r>
            <w:r>
              <w:rPr>
                <w:rFonts w:hint="eastAsia" w:ascii="仿宋_GB2312" w:hAnsi="仿宋_GB2312" w:eastAsia="仿宋_GB2312" w:cs="仿宋_GB2312"/>
                <w:sz w:val="20"/>
                <w:szCs w:val="20"/>
                <w:highlight w:val="none"/>
                <w:lang w:eastAsia="zh-CN"/>
              </w:rPr>
              <w:t>规划编制</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岳阳市自然资源和规划局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岳阳市自然资源和规划局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1433.33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1433.33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1433.33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1433.33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守住永久基本农田和生态保护红线两条底线，科学确定城镇建设用地规模</w:t>
            </w:r>
            <w:r>
              <w:rPr>
                <w:rFonts w:hint="eastAsia" w:ascii="仿宋_GB2312" w:hAnsi="仿宋_GB2312" w:eastAsia="仿宋_GB2312" w:cs="仿宋_GB2312"/>
                <w:color w:val="000000"/>
                <w:sz w:val="20"/>
                <w:szCs w:val="20"/>
                <w:highlight w:val="none"/>
                <w:lang w:eastAsia="zh-CN"/>
              </w:rPr>
              <w:t>。</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完成预期目标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耕地目标控制数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519.84万亩</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永久基本农田目标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459.20万亩</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质量验收等级</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验收合格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合格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2023年底</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2023年底</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2023年底</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控制在预算范围内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1433.33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1433.33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做好城市功能分区，提高居民生活便捷性</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有效改善</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耕地和永久基本农田保护目标实现度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为岳阳市城市建设发展带来可持续的积极影响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营造良好社会氛围，</w:t>
            </w:r>
            <w:r>
              <w:rPr>
                <w:rFonts w:hint="eastAsia" w:ascii="仿宋_GB2312" w:hAnsi="仿宋_GB2312" w:eastAsia="仿宋_GB2312" w:cs="仿宋_GB2312"/>
                <w:color w:val="000000"/>
                <w:sz w:val="20"/>
                <w:szCs w:val="20"/>
              </w:rPr>
              <w:t>确保社会满意度持续提</w:t>
            </w:r>
            <w:r>
              <w:rPr>
                <w:rFonts w:hint="eastAsia" w:ascii="仿宋_GB2312" w:hAnsi="仿宋_GB2312" w:eastAsia="仿宋_GB2312" w:cs="仿宋_GB2312"/>
                <w:color w:val="000000"/>
                <w:sz w:val="20"/>
                <w:szCs w:val="20"/>
                <w:lang w:eastAsia="zh-CN"/>
              </w:rPr>
              <w:t>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营造良好社会氛围，</w:t>
            </w:r>
            <w:r>
              <w:rPr>
                <w:rFonts w:hint="eastAsia" w:ascii="仿宋_GB2312" w:hAnsi="仿宋_GB2312" w:eastAsia="仿宋_GB2312" w:cs="仿宋_GB2312"/>
                <w:color w:val="000000"/>
                <w:sz w:val="20"/>
                <w:szCs w:val="20"/>
              </w:rPr>
              <w:t>确保社会满意度持续提</w:t>
            </w:r>
            <w:r>
              <w:rPr>
                <w:rFonts w:hint="eastAsia" w:ascii="仿宋_GB2312" w:hAnsi="仿宋_GB2312" w:eastAsia="仿宋_GB2312" w:cs="仿宋_GB2312"/>
                <w:color w:val="000000"/>
                <w:sz w:val="20"/>
                <w:szCs w:val="20"/>
                <w:lang w:eastAsia="zh-CN"/>
              </w:rPr>
              <w:t>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ind w:left="0" w:leftChars="0" w:firstLine="0" w:firstLineChars="0"/>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樊孟松</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2024.5.8</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07308691983</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年度岳阳市自然资源和规划局</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年度岳阳市自然资源和规划局</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一、</w:t>
      </w:r>
      <w:r>
        <w:rPr>
          <w:rFonts w:hint="default" w:ascii="Times New Roman" w:hAnsi="Times New Roman" w:eastAsia="黑体" w:cs="Times New Roman"/>
          <w:sz w:val="32"/>
          <w:szCs w:val="32"/>
          <w:highlight w:val="none"/>
        </w:rPr>
        <w:t>部门基本情况</w:t>
      </w:r>
    </w:p>
    <w:p>
      <w:pPr>
        <w:spacing w:line="52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（一）基本情况</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textAlignment w:val="auto"/>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岳阳市自然资源和规划局（以下简称“市自然资源和规划局”）于2019年3月4日挂牌成立，属全额预算拨款的正处级行政单位。局下设办公室、自然资源调查监测科、国土空间生态修复科等</w:t>
      </w:r>
      <w:r>
        <w:rPr>
          <w:rFonts w:hint="eastAsia" w:asciiTheme="minorEastAsia" w:hAnsiTheme="minorEastAsia" w:eastAsiaTheme="minorEastAsia" w:cstheme="minorEastAsia"/>
          <w:bCs/>
          <w:sz w:val="22"/>
          <w:szCs w:val="22"/>
          <w:lang w:val="en-US" w:eastAsia="zh-CN"/>
        </w:rPr>
        <w:t>25</w:t>
      </w:r>
      <w:r>
        <w:rPr>
          <w:rFonts w:hint="eastAsia" w:asciiTheme="minorEastAsia" w:hAnsiTheme="minorEastAsia" w:eastAsiaTheme="minorEastAsia" w:cstheme="minorEastAsia"/>
          <w:bCs/>
          <w:sz w:val="22"/>
          <w:szCs w:val="22"/>
        </w:rPr>
        <w:t>个职能科室，纳入财政预算的二级机构为3个，分别为：岳阳市自然资源和规划行政执法支队、岳阳市不动产登记中心、岳阳市自然资源和规划事务中心。</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textAlignment w:val="auto"/>
        <w:rPr>
          <w:rFonts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根据“三定方案”，市自然资源和规划局局机关（以下简称“局机关”）人员编制数6</w:t>
      </w:r>
      <w:r>
        <w:rPr>
          <w:rFonts w:hint="eastAsia" w:asciiTheme="minorEastAsia" w:hAnsiTheme="minorEastAsia" w:eastAsiaTheme="minorEastAsia" w:cstheme="minorEastAsia"/>
          <w:bCs/>
          <w:sz w:val="22"/>
          <w:szCs w:val="22"/>
          <w:lang w:val="en-US" w:eastAsia="zh-CN"/>
        </w:rPr>
        <w:t>5</w:t>
      </w:r>
      <w:r>
        <w:rPr>
          <w:rFonts w:hint="eastAsia" w:asciiTheme="minorEastAsia" w:hAnsiTheme="minorEastAsia" w:eastAsiaTheme="minorEastAsia" w:cstheme="minorEastAsia"/>
          <w:bCs/>
          <w:sz w:val="22"/>
          <w:szCs w:val="22"/>
        </w:rPr>
        <w:t>人（局机关行政编制6</w:t>
      </w:r>
      <w:r>
        <w:rPr>
          <w:rFonts w:hint="eastAsia" w:asciiTheme="minorEastAsia" w:hAnsiTheme="minorEastAsia" w:eastAsiaTheme="minorEastAsia" w:cstheme="minorEastAsia"/>
          <w:bCs/>
          <w:sz w:val="22"/>
          <w:szCs w:val="22"/>
          <w:lang w:val="en-US" w:eastAsia="zh-CN"/>
        </w:rPr>
        <w:t>1</w:t>
      </w:r>
      <w:r>
        <w:rPr>
          <w:rFonts w:hint="eastAsia" w:asciiTheme="minorEastAsia" w:hAnsiTheme="minorEastAsia" w:eastAsiaTheme="minorEastAsia" w:cstheme="minorEastAsia"/>
          <w:bCs/>
          <w:sz w:val="22"/>
          <w:szCs w:val="22"/>
        </w:rPr>
        <w:t>人、事业编制4人）</w:t>
      </w:r>
      <w:r>
        <w:rPr>
          <w:rFonts w:hint="eastAsia" w:asciiTheme="minorEastAsia" w:hAnsiTheme="minorEastAsia" w:eastAsiaTheme="minorEastAsia" w:cstheme="minorEastAsia"/>
          <w:bCs/>
          <w:sz w:val="22"/>
          <w:szCs w:val="22"/>
          <w:lang w:eastAsia="zh-CN"/>
        </w:rPr>
        <w:t>，</w:t>
      </w:r>
      <w:r>
        <w:rPr>
          <w:rFonts w:hint="eastAsia" w:asciiTheme="minorEastAsia" w:hAnsiTheme="minorEastAsia" w:eastAsiaTheme="minorEastAsia" w:cstheme="minorEastAsia"/>
          <w:bCs/>
          <w:sz w:val="22"/>
          <w:szCs w:val="22"/>
        </w:rPr>
        <w:t>202</w:t>
      </w:r>
      <w:r>
        <w:rPr>
          <w:rFonts w:hint="eastAsia" w:asciiTheme="minorEastAsia" w:hAnsiTheme="minorEastAsia" w:eastAsiaTheme="minorEastAsia" w:cstheme="minorEastAsia"/>
          <w:bCs/>
          <w:sz w:val="22"/>
          <w:szCs w:val="22"/>
          <w:lang w:val="en-US" w:eastAsia="zh-CN"/>
        </w:rPr>
        <w:t>3</w:t>
      </w:r>
      <w:r>
        <w:rPr>
          <w:rFonts w:hint="eastAsia" w:asciiTheme="minorEastAsia" w:hAnsiTheme="minorEastAsia" w:eastAsiaTheme="minorEastAsia" w:cstheme="minorEastAsia"/>
          <w:bCs/>
          <w:sz w:val="22"/>
          <w:szCs w:val="22"/>
        </w:rPr>
        <w:t>年实有在岗人员</w:t>
      </w:r>
      <w:r>
        <w:rPr>
          <w:rFonts w:hint="eastAsia" w:asciiTheme="minorEastAsia" w:hAnsiTheme="minorEastAsia" w:eastAsiaTheme="minorEastAsia" w:cstheme="minorEastAsia"/>
          <w:bCs/>
          <w:sz w:val="22"/>
          <w:szCs w:val="22"/>
          <w:lang w:val="en-US" w:eastAsia="zh-CN"/>
        </w:rPr>
        <w:t>61</w:t>
      </w:r>
      <w:r>
        <w:rPr>
          <w:rFonts w:hint="eastAsia" w:asciiTheme="minorEastAsia" w:hAnsiTheme="minorEastAsia" w:eastAsiaTheme="minorEastAsia" w:cstheme="minorEastAsia"/>
          <w:bCs/>
          <w:sz w:val="22"/>
          <w:szCs w:val="22"/>
        </w:rPr>
        <w:t>人。</w:t>
      </w:r>
    </w:p>
    <w:p>
      <w:pPr>
        <w:keepNext w:val="0"/>
        <w:keepLines w:val="0"/>
        <w:pageBreakBefore w:val="0"/>
        <w:widowControl w:val="0"/>
        <w:kinsoku/>
        <w:wordWrap/>
        <w:overflowPunct/>
        <w:topLinePunct w:val="0"/>
        <w:autoSpaceDE/>
        <w:autoSpaceDN/>
        <w:bidi w:val="0"/>
        <w:adjustRightInd/>
        <w:snapToGrid/>
        <w:spacing w:line="640" w:lineRule="exact"/>
        <w:ind w:firstLine="44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2"/>
          <w:szCs w:val="22"/>
        </w:rPr>
        <w:t>岳阳市自然资源和规划局及二级机构等全部分开独立核算。按市财政局工作规定</w:t>
      </w:r>
      <w:r>
        <w:rPr>
          <w:rFonts w:hint="eastAsia" w:asciiTheme="minorEastAsia" w:hAnsiTheme="minorEastAsia" w:eastAsiaTheme="minorEastAsia" w:cstheme="minorEastAsia"/>
          <w:bCs/>
          <w:sz w:val="22"/>
          <w:szCs w:val="22"/>
          <w:lang w:eastAsia="zh-CN"/>
        </w:rPr>
        <w:t>，</w:t>
      </w:r>
      <w:r>
        <w:rPr>
          <w:rFonts w:hint="eastAsia" w:asciiTheme="minorEastAsia" w:hAnsiTheme="minorEastAsia" w:eastAsiaTheme="minorEastAsia" w:cstheme="minorEastAsia"/>
          <w:bCs/>
          <w:sz w:val="22"/>
          <w:szCs w:val="22"/>
        </w:rPr>
        <w:t>由主管单位对其实施绩效考评</w:t>
      </w:r>
      <w:r>
        <w:rPr>
          <w:rFonts w:hint="eastAsia" w:asciiTheme="minorEastAsia" w:hAnsiTheme="minorEastAsia" w:eastAsiaTheme="minorEastAsia" w:cstheme="minorEastAsia"/>
          <w:bCs/>
          <w:sz w:val="22"/>
          <w:szCs w:val="22"/>
          <w:lang w:eastAsia="zh-CN"/>
        </w:rPr>
        <w:t>，</w:t>
      </w:r>
      <w:r>
        <w:rPr>
          <w:rFonts w:hint="eastAsia" w:asciiTheme="minorEastAsia" w:hAnsiTheme="minorEastAsia" w:eastAsiaTheme="minorEastAsia" w:cstheme="minorEastAsia"/>
          <w:bCs/>
          <w:sz w:val="22"/>
          <w:szCs w:val="22"/>
        </w:rPr>
        <w:t>所以本次重点对局机关整体支出预算绩效进行自评。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kern w:val="0"/>
          <w:sz w:val="32"/>
          <w:szCs w:val="32"/>
          <w:lang w:val="en-US" w:eastAsia="zh-CN" w:bidi="ar-SA"/>
        </w:rPr>
        <w:t>（二）</w:t>
      </w:r>
      <w:r>
        <w:rPr>
          <w:rFonts w:hint="eastAsia" w:ascii="楷体_GB2312" w:hAnsi="楷体_GB2312" w:eastAsia="楷体_GB2312" w:cs="楷体_GB2312"/>
          <w:b/>
          <w:sz w:val="32"/>
          <w:szCs w:val="32"/>
        </w:rPr>
        <w:t>主要职能职责</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1、</w:t>
      </w:r>
      <w:r>
        <w:rPr>
          <w:rFonts w:hint="eastAsia"/>
        </w:rPr>
        <w:t>依法履行全民所有土地、矿产、森林、草原、湿地、水等自然资源资产所有者职责和国土空间用途管制职责。拟订自然资源和国土空间规划、测绘等地方性法规草案、政府规章草案及相关规定，依法组织实施和监督检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2、</w:t>
      </w:r>
      <w:r>
        <w:rPr>
          <w:rFonts w:hint="eastAsia"/>
        </w:rPr>
        <w:t>负责自然资源调查监测评价。依照自然资源调查监测评价指标体系、统计标准，实施自然资源基础调查、专项调查和监测。负责自然资源调查监测评价成果的监督管理和信息发布。指导全市自然资源调查监测评价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3、</w:t>
      </w:r>
      <w:r>
        <w:rPr>
          <w:rFonts w:hint="eastAsia"/>
        </w:rPr>
        <w:t>负责自然资源统一确权登记工作。制定各类自然资源和不动产统一确权登记、权籍调查、测绘、信息、争议调处、成果应用等制度。建立健全全市自然资源和不动产登记信息管理基础平台。负责自然资源和不动产登记资料收集、整理、共享、汇交管理等。指导监督全市自然资源和不动产确权登记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4、</w:t>
      </w:r>
      <w:r>
        <w:rPr>
          <w:rFonts w:hint="eastAsia"/>
        </w:rPr>
        <w:t>负责自然资源资产有偿使用工作。贯彻执行全民所有自然资源资产统计制度，负责全民所有自然资源资产核算。编制全民所有自然资源资产负债表，拟订考核标准。执行全民所有自然资源资产划拨、出让、租赁、作价出资和土地储备政策，合理配置全民所有自然资源资产。负责自然资源资产价值评估管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5、</w:t>
      </w:r>
      <w:r>
        <w:rPr>
          <w:rFonts w:hint="eastAsia"/>
        </w:rPr>
        <w:t>负责自然资源的合理开发利用。严格执行国家、省、市有关自然资源合理开发利用的政策规定。拟订全市自然资源发展规划和战略，依照自然资源开发利用标准组织实施，建立政府公示自然资源价格体系，开展自然资源分等定级价格评估，开展自然资源利用评价考核和节约集约利用。负责自然资源市场监管。研究自然资源管理涉及宏观调控、区域协调和城乡统筹的政策措施。</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6、</w:t>
      </w:r>
      <w:r>
        <w:rPr>
          <w:rFonts w:hint="eastAsia"/>
        </w:rPr>
        <w:t>负责建立国土空间规划体系并监督实施。开展城市发展战略研究、国土空间规划研究和全域自然资源管控研究；推进主体功能区战略和制度，组织编制国土空间规划和相关专项规划；负责市本级国土空间规划实施管理；组织划定生态保护红线、永久基本农田、城镇开发边界等控制线，构建节约资源和自然和谐的生产、生活、生态空间布局；开展国土空间开发适宜性评价，建立国土空间规划实施监测、评估和预警体系；建立健全国土空间用途管制制度；负责土地等国土空间用途转用工作；负责国有土地使用权收回工作和土地征收征用管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7、</w:t>
      </w:r>
      <w:r>
        <w:rPr>
          <w:rFonts w:hint="eastAsia"/>
        </w:rPr>
        <w:t>负责制定国土空间规划编制计划和近期建设规划，制定土地利用及储备供应、矿产资源保护利用、基础测绘、新增建设用地等年度计划，并组织实施；参与城市发展年度建设计划及实施工作。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8、</w:t>
      </w:r>
      <w:r>
        <w:rPr>
          <w:rFonts w:hint="eastAsia"/>
        </w:rPr>
        <w:t>负责统筹国土空间生态修复。牵头组织编制国土空间生态修复规划并实施有关生态修复重大工程。负责国土空间综合整治、土地整理复垦、矿山地质环境恢复治理、统筹山水林田湖草生态系统修复治理等工作。牵头建立和实施生态保护补偿制度，执行合理利用社会资金进行生态修复的政策措施，并提出市级重大备选项目。</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9、</w:t>
      </w:r>
      <w:r>
        <w:rPr>
          <w:rFonts w:hint="eastAsia"/>
        </w:rPr>
        <w:t>负责组织实施最严格的耕地保护制度。牵头实施耕地保护政策，负责耕地数量和生态保护，做好耕地质量保护有关工作。组织实施耕地保护责任目标考核和永久基本农田特殊保护。负责耕地占补平衡管理，落实占用耕地补偿制度，监督占用耕地补偿制度执行情况。</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10、</w:t>
      </w:r>
      <w:r>
        <w:rPr>
          <w:rFonts w:hint="eastAsia"/>
        </w:rPr>
        <w:t>负责管理地质勘查行业和全市地质工作。编制全市地质勘查规划并监督检查执行情况。管理市级地质勘查项目。组织实施重大地质矿产勘查专项。监督管理地下水过量开采及引发的地面沉降等地质问题。负责古生物化石的监督管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11、</w:t>
      </w:r>
      <w:r>
        <w:rPr>
          <w:rFonts w:hint="eastAsia"/>
        </w:rPr>
        <w:t>负责地质灾害预防和治理。组织开展地质调查评价工作；负责落实综合防灾减灾规划相关要求，组织编制地质灾害防治规划和防护标准并指导实施。组织指导协调和监督地质灾害调查评价及隐患普查、详查、排查。指导开展群测群防、专业监测和预报预警等工作，指导开展地质灾害工程治理工作。承担地质灾害应急救援的技术支撑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12、</w:t>
      </w:r>
      <w:r>
        <w:rPr>
          <w:rFonts w:hint="eastAsia"/>
        </w:rPr>
        <w:t>负责矿产资源管理工作。负责矿产资源储量管理及压覆矿产资源管理。负责矿业权管理。会同有关部门承担保护性</w:t>
      </w:r>
      <w:r>
        <w:rPr>
          <w:rFonts w:hint="eastAsia"/>
          <w:lang w:eastAsia="zh-CN"/>
        </w:rPr>
        <w:t>开采</w:t>
      </w:r>
      <w:r>
        <w:rPr>
          <w:rFonts w:hint="eastAsia"/>
        </w:rPr>
        <w:t>的特定矿种、优势矿产的调控及相关管理工作。监督指导矿产资源合理利用和保护。</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13、</w:t>
      </w:r>
      <w:r>
        <w:rPr>
          <w:rFonts w:hint="eastAsia"/>
        </w:rPr>
        <w:t>推动自然资源领域科技发展。制定并实施自然资源领域科技创新发展和人才培养规划和计划。组织制定技术规程并监督实施。组织实施重大科技工程及创新能力建设，推进自然资源信息化和信息资料的公共服务。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14、</w:t>
      </w:r>
      <w:r>
        <w:rPr>
          <w:rFonts w:hint="eastAsia"/>
        </w:rPr>
        <w:t>负责测绘地理信息管理工作。负责基础测绘和测绘行业管理。负责测绘资质审核与信用管理，监督管理地理信息安全、测绘市场秩序。负责地图管理、地理信息公共服务工作。负责测量标志保护。承担地理空间数据的汇集整合、提供使用和共享工作。负责全市航天航空遥感影像数据的统一获取。</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lang w:val="en-US" w:eastAsia="zh-CN"/>
        </w:rPr>
      </w:pPr>
      <w:r>
        <w:rPr>
          <w:rFonts w:hint="default"/>
          <w:lang w:val="en-US" w:eastAsia="zh-CN"/>
        </w:rPr>
        <w:t>15、</w:t>
      </w:r>
      <w:r>
        <w:rPr>
          <w:rFonts w:hint="eastAsia"/>
          <w:lang w:val="en-US" w:eastAsia="zh-CN"/>
        </w:rPr>
        <w:t>根据授权，对市以下各级政府及相关部门落实市委、市政府关于自然资源、国土空间规划重大政策、决策部署及法规规章执行情况进行督察。依法查处自然资源开发利用、国土空间规划及测绘领域违法案件。负责涉及自然资源和规划管理事项的信访处理、行政复议、行政诉讼等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lang w:val="en-US" w:eastAsia="zh-CN"/>
        </w:rPr>
      </w:pPr>
      <w:r>
        <w:rPr>
          <w:rFonts w:hint="default"/>
          <w:lang w:val="en-US" w:eastAsia="zh-CN"/>
        </w:rPr>
        <w:t>1</w:t>
      </w:r>
      <w:r>
        <w:rPr>
          <w:rFonts w:hint="eastAsia"/>
          <w:lang w:val="en-US" w:eastAsia="zh-CN"/>
        </w:rPr>
        <w:t>6</w:t>
      </w:r>
      <w:r>
        <w:rPr>
          <w:rFonts w:hint="default"/>
          <w:lang w:val="en-US" w:eastAsia="zh-CN"/>
        </w:rPr>
        <w:t>、</w:t>
      </w:r>
      <w:r>
        <w:rPr>
          <w:rFonts w:hint="eastAsia"/>
          <w:lang w:val="en-US" w:eastAsia="zh-CN"/>
        </w:rPr>
        <w:t>完成市委、市政府交办的其他事项。</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rPr>
      </w:pPr>
      <w:r>
        <w:rPr>
          <w:rFonts w:hint="default"/>
          <w:lang w:val="en-US" w:eastAsia="zh-CN"/>
        </w:rPr>
        <w:t>1</w:t>
      </w:r>
      <w:r>
        <w:rPr>
          <w:rFonts w:hint="eastAsia"/>
          <w:lang w:val="en-US" w:eastAsia="zh-CN"/>
        </w:rPr>
        <w:t>7</w:t>
      </w:r>
      <w:r>
        <w:rPr>
          <w:rFonts w:hint="default"/>
          <w:lang w:val="en-US" w:eastAsia="zh-CN"/>
        </w:rPr>
        <w:t>、</w:t>
      </w:r>
      <w:r>
        <w:rPr>
          <w:rFonts w:hint="eastAsia"/>
          <w:lang w:val="en-US" w:eastAsia="zh-CN"/>
        </w:rPr>
        <w:t>职能转变。市自然资源和规划局要落实中央关于统一行使全民所有自然资源资产所有者职责，统一行使所有国土空间用途管制和生态保护修复职责的要求，强化顶层设计，发挥国土空间规划管控作用，为保护和合理开发利用自然资源提供科学指引。进一步加强自然资源的保护和合理开发利用，建立健全源头保护和全过程修复治理相</w:t>
      </w:r>
      <w:r>
        <w:rPr>
          <w:rFonts w:hint="eastAsia"/>
        </w:rPr>
        <w:t>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en-US"/>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val="en-US" w:eastAsia="en-US"/>
        </w:rPr>
        <w:t>）</w:t>
      </w:r>
      <w:r>
        <w:rPr>
          <w:rFonts w:hint="eastAsia" w:ascii="楷体_GB2312" w:hAnsi="楷体_GB2312" w:eastAsia="楷体_GB2312" w:cs="楷体_GB2312"/>
          <w:b/>
          <w:bCs/>
          <w:sz w:val="32"/>
          <w:szCs w:val="32"/>
        </w:rPr>
        <w:t>重点工作计划</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lang w:val="en-US" w:eastAsia="zh-CN"/>
        </w:rPr>
      </w:pPr>
      <w:r>
        <w:rPr>
          <w:rFonts w:hint="default"/>
          <w:lang w:val="en-US" w:eastAsia="zh-CN"/>
        </w:rPr>
        <w:t>1、</w:t>
      </w:r>
      <w:r>
        <w:rPr>
          <w:rFonts w:hint="eastAsia"/>
          <w:lang w:val="en-US" w:eastAsia="zh-CN"/>
        </w:rPr>
        <w:t>强化国土空间规划支撑，构建国土空间规划体系。一是编制实施全市国土空间总体规划、各类专项规划，整体谋划国土空间保护、开发、利用和修复，推动形成高质量发展的国土空间布局。二是落实乡村振兴政策保障，以村庄规划助推乡村振兴，稳步有序推进“多规合一”实用型村庄规划编制。</w:t>
      </w:r>
    </w:p>
    <w:p>
      <w:pPr>
        <w:keepNext w:val="0"/>
        <w:keepLines w:val="0"/>
        <w:pageBreakBefore w:val="0"/>
        <w:widowControl w:val="0"/>
        <w:kinsoku/>
        <w:wordWrap/>
        <w:overflowPunct/>
        <w:topLinePunct w:val="0"/>
        <w:autoSpaceDE/>
        <w:autoSpaceDN/>
        <w:bidi w:val="0"/>
        <w:adjustRightInd/>
        <w:snapToGrid/>
        <w:ind w:firstLine="440" w:firstLineChars="200"/>
        <w:textAlignment w:val="auto"/>
      </w:pPr>
      <w:r>
        <w:rPr>
          <w:rFonts w:hint="default"/>
          <w:lang w:val="en-US" w:eastAsia="zh-CN"/>
        </w:rPr>
        <w:t>2、</w:t>
      </w:r>
      <w:r>
        <w:rPr>
          <w:rFonts w:hint="eastAsia"/>
          <w:lang w:val="en-US" w:eastAsia="zh-CN"/>
        </w:rPr>
        <w:t>严守耕地保护红线，遏制耕地“非农化”“非粮化”。一是落实最严格的耕地保护制度，探索耕地全程一体化保护，二是健全新增耕地监管机制，对土地开发、增减挂钩、土地综合整治、高标准农田建设等所有新增耕地项目立项和指标确认严格把关，三是全面落实</w:t>
      </w:r>
      <w:r>
        <w:rPr>
          <w:rFonts w:hint="eastAsia"/>
        </w:rPr>
        <w:t>“耕地占补平衡”，严格控制建设占用耕地，对耕地实行特殊保护和用途管制。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lang w:val="en-US" w:eastAsia="zh-CN"/>
        </w:rPr>
      </w:pPr>
      <w:r>
        <w:rPr>
          <w:rFonts w:hint="default"/>
          <w:lang w:val="en-US" w:eastAsia="zh-CN"/>
        </w:rPr>
        <w:t>3、</w:t>
      </w:r>
      <w:r>
        <w:rPr>
          <w:rFonts w:hint="eastAsia"/>
          <w:lang w:val="en-US" w:eastAsia="zh-CN"/>
        </w:rPr>
        <w:t>强化节约集约利用，精准配置资源要素。全力服务保障省市重点建设项目合理用地需求，优先保障重大基础设施、重点民生实事和重大产业项目顺利落地。深入推进土地全生命周期管理，科学制定储备计划，调优储备机制，抓实土地依法征收清零，落实“限期供地”“净地出让”“弹性供地”政策，服务项目落地。落实最严格的节约集约用地制度，加大闲置土地处置力度，促进批而未用土地有效利用，盘活存量土地，提高利用效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lang w:val="en-US" w:eastAsia="zh-CN"/>
        </w:rPr>
      </w:pPr>
      <w:r>
        <w:rPr>
          <w:rFonts w:hint="default"/>
          <w:lang w:val="en-US" w:eastAsia="zh-CN"/>
        </w:rPr>
        <w:t>4、</w:t>
      </w:r>
      <w:r>
        <w:rPr>
          <w:rFonts w:hint="eastAsia"/>
          <w:lang w:val="en-US" w:eastAsia="zh-CN"/>
        </w:rPr>
        <w:t>聚焦群众“急难愁盼”，着力优化营商环境。深入推进“一网通办，一件事一次办”“最多跑一次”改革。全面实施“交房即交证”“交地即交证”改革。加快不动产登记便利化建设，推动“互联网+不动产登记”向更高层级发展。深化建设工程审批制度改革，实施全流程再造，精简审批环节，加快推进“拿地即开工”改革试点、全面提升企业和群众的满意度、获得感。</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lang w:val="en-US" w:eastAsia="zh-CN"/>
        </w:rPr>
      </w:pPr>
      <w:r>
        <w:rPr>
          <w:rFonts w:hint="default"/>
          <w:lang w:val="en-US" w:eastAsia="zh-CN"/>
        </w:rPr>
        <w:t>5、</w:t>
      </w:r>
      <w:r>
        <w:rPr>
          <w:rFonts w:hint="eastAsia"/>
          <w:lang w:val="en-US" w:eastAsia="zh-CN"/>
        </w:rPr>
        <w:t>加强生态保护修复，不断深化生态治理。健全生态保护修复制度体系，编制国土空间生态保护修复规划，有序推进山水林田湖草沙一体化保护和修复工程项目。推进历史遗留废弃矿山生态修复，采取地质环境治理、土地综合整治、生态修复治理等综合手段，最大限度减少裸露地面，增加绿化面积，减少和抑制矿山扬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lang w:val="en-US" w:eastAsia="zh-CN"/>
        </w:rPr>
      </w:pPr>
      <w:r>
        <w:rPr>
          <w:rFonts w:hint="default"/>
          <w:lang w:val="en-US" w:eastAsia="zh-CN"/>
        </w:rPr>
        <w:t>6、</w:t>
      </w:r>
      <w:r>
        <w:rPr>
          <w:rFonts w:hint="eastAsia"/>
          <w:lang w:val="en-US" w:eastAsia="zh-CN"/>
        </w:rPr>
        <w:t>推动矿业转型发展，加快建设绿色矿山。加强绿色矿山建设，全面实行采矿权出让“双把关”制，对未按规定时限达到绿色矿山标准的，一律不予延续登记。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lang w:val="en-US" w:eastAsia="zh-CN"/>
        </w:rPr>
      </w:pPr>
      <w:r>
        <w:rPr>
          <w:rFonts w:hint="default"/>
          <w:lang w:val="en-US" w:eastAsia="zh-CN"/>
        </w:rPr>
        <w:t>7、</w:t>
      </w:r>
      <w:r>
        <w:rPr>
          <w:rFonts w:hint="eastAsia"/>
          <w:lang w:val="en-US" w:eastAsia="zh-CN"/>
        </w:rPr>
        <w:t>增强地灾防治能力，保障人民群众安全。坚持人民至上、生命至上，加快推进地质灾害防治“两库两预警两提升”工程，强化地质灾害人防技防，认真落实群测群防、巡查排查、值班值守等制度，保障人民群众生命财产安全。</w:t>
      </w:r>
    </w:p>
    <w:p>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14"/>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cs="宋体"/>
          <w:color w:val="000000"/>
          <w:sz w:val="22"/>
          <w:szCs w:val="22"/>
          <w:lang w:bidi="ar"/>
        </w:rPr>
      </w:pPr>
      <w:r>
        <w:rPr>
          <w:rFonts w:ascii="宋体" w:hAnsi="宋体" w:cs="宋体"/>
          <w:color w:val="000000"/>
          <w:sz w:val="22"/>
          <w:szCs w:val="22"/>
          <w:lang w:bidi="ar"/>
        </w:rPr>
        <w:t>2023年度局</w:t>
      </w:r>
      <w:r>
        <w:rPr>
          <w:rFonts w:hint="eastAsia" w:ascii="宋体" w:hAnsi="宋体" w:cs="宋体"/>
          <w:color w:val="000000"/>
          <w:sz w:val="22"/>
          <w:szCs w:val="22"/>
          <w:lang w:eastAsia="zh-CN" w:bidi="ar"/>
        </w:rPr>
        <w:t>机关</w:t>
      </w:r>
      <w:r>
        <w:rPr>
          <w:rFonts w:ascii="宋体" w:hAnsi="宋体" w:cs="宋体"/>
          <w:color w:val="000000"/>
          <w:sz w:val="22"/>
          <w:szCs w:val="22"/>
          <w:lang w:bidi="ar"/>
        </w:rPr>
        <w:t>基本支出</w:t>
      </w:r>
      <w:r>
        <w:rPr>
          <w:rFonts w:hint="eastAsia" w:ascii="宋体" w:hAnsi="宋体" w:cs="宋体"/>
          <w:color w:val="000000"/>
          <w:sz w:val="22"/>
          <w:szCs w:val="22"/>
          <w:lang w:val="en-US" w:eastAsia="zh-CN" w:bidi="ar"/>
        </w:rPr>
        <w:t>2727.38</w:t>
      </w:r>
      <w:r>
        <w:rPr>
          <w:rFonts w:ascii="宋体" w:hAnsi="宋体" w:cs="宋体"/>
          <w:color w:val="000000"/>
          <w:sz w:val="22"/>
          <w:szCs w:val="22"/>
          <w:lang w:bidi="ar"/>
        </w:rPr>
        <w:t>万元，其中</w:t>
      </w:r>
      <w:r>
        <w:rPr>
          <w:rFonts w:hint="eastAsia" w:ascii="宋体" w:hAnsi="宋体" w:cs="宋体"/>
          <w:color w:val="000000"/>
          <w:sz w:val="22"/>
          <w:szCs w:val="22"/>
          <w:lang w:bidi="ar"/>
        </w:rPr>
        <w:t>：其中：人员经费支出</w:t>
      </w:r>
      <w:r>
        <w:rPr>
          <w:rFonts w:hint="eastAsia" w:ascii="宋体" w:hAnsi="宋体" w:cs="宋体"/>
          <w:color w:val="000000"/>
          <w:sz w:val="22"/>
          <w:szCs w:val="22"/>
          <w:lang w:val="en-US" w:eastAsia="zh-CN" w:bidi="ar"/>
        </w:rPr>
        <w:t>1571.88</w:t>
      </w:r>
      <w:r>
        <w:rPr>
          <w:rFonts w:hint="eastAsia" w:ascii="宋体" w:hAnsi="宋体" w:cs="宋体"/>
          <w:color w:val="000000"/>
          <w:sz w:val="22"/>
          <w:szCs w:val="22"/>
          <w:lang w:bidi="ar"/>
        </w:rPr>
        <w:t>万元，占基本支出</w:t>
      </w:r>
      <w:r>
        <w:rPr>
          <w:rFonts w:hint="eastAsia" w:ascii="宋体" w:hAnsi="宋体" w:cs="宋体"/>
          <w:color w:val="000000"/>
          <w:sz w:val="22"/>
          <w:szCs w:val="22"/>
          <w:lang w:val="en-US" w:eastAsia="zh-CN" w:bidi="ar"/>
        </w:rPr>
        <w:t>57.63</w:t>
      </w:r>
      <w:r>
        <w:rPr>
          <w:rFonts w:hint="eastAsia" w:ascii="宋体" w:hAnsi="宋体" w:cs="宋体"/>
          <w:color w:val="000000"/>
          <w:sz w:val="22"/>
          <w:szCs w:val="22"/>
          <w:lang w:bidi="ar"/>
        </w:rPr>
        <w:t>%</w:t>
      </w:r>
      <w:r>
        <w:rPr>
          <w:rFonts w:hint="eastAsia" w:ascii="宋体" w:hAnsi="宋体" w:cs="宋体"/>
          <w:color w:val="000000"/>
          <w:sz w:val="22"/>
          <w:szCs w:val="22"/>
          <w:lang w:eastAsia="zh-CN" w:bidi="ar"/>
        </w:rPr>
        <w:t>；</w:t>
      </w:r>
      <w:r>
        <w:rPr>
          <w:rFonts w:hint="eastAsia" w:ascii="宋体" w:hAnsi="宋体" w:cs="宋体"/>
          <w:color w:val="000000"/>
          <w:sz w:val="22"/>
          <w:szCs w:val="22"/>
          <w:lang w:bidi="ar"/>
        </w:rPr>
        <w:t>公用经费支出</w:t>
      </w:r>
      <w:r>
        <w:rPr>
          <w:rFonts w:hint="eastAsia" w:ascii="宋体" w:hAnsi="宋体" w:cs="宋体"/>
          <w:color w:val="000000"/>
          <w:sz w:val="22"/>
          <w:szCs w:val="22"/>
          <w:lang w:val="en-US" w:eastAsia="zh-CN" w:bidi="ar"/>
        </w:rPr>
        <w:t>1155.51</w:t>
      </w:r>
      <w:r>
        <w:rPr>
          <w:rFonts w:hint="eastAsia" w:ascii="宋体" w:hAnsi="宋体" w:cs="宋体"/>
          <w:color w:val="000000"/>
          <w:sz w:val="22"/>
          <w:szCs w:val="22"/>
          <w:lang w:bidi="ar"/>
        </w:rPr>
        <w:t>万元</w:t>
      </w:r>
      <w:r>
        <w:rPr>
          <w:rFonts w:hint="eastAsia" w:ascii="宋体" w:hAnsi="宋体" w:cs="宋体"/>
          <w:color w:val="000000"/>
          <w:sz w:val="22"/>
          <w:szCs w:val="22"/>
          <w:lang w:eastAsia="zh-CN" w:bidi="ar"/>
        </w:rPr>
        <w:t>，</w:t>
      </w:r>
      <w:r>
        <w:rPr>
          <w:rFonts w:hint="eastAsia" w:ascii="宋体" w:hAnsi="宋体" w:cs="宋体"/>
          <w:color w:val="000000"/>
          <w:sz w:val="22"/>
          <w:szCs w:val="22"/>
          <w:lang w:bidi="ar"/>
        </w:rPr>
        <w:t>占基本支出</w:t>
      </w:r>
      <w:r>
        <w:rPr>
          <w:rFonts w:hint="eastAsia" w:ascii="宋体" w:hAnsi="宋体" w:cs="宋体"/>
          <w:color w:val="000000"/>
          <w:sz w:val="22"/>
          <w:szCs w:val="22"/>
          <w:lang w:val="en-US" w:eastAsia="zh-CN" w:bidi="ar"/>
        </w:rPr>
        <w:t>42.37</w:t>
      </w:r>
      <w:r>
        <w:rPr>
          <w:rFonts w:hint="eastAsia" w:ascii="宋体" w:hAnsi="宋体" w:cs="宋体"/>
          <w:color w:val="000000"/>
          <w:sz w:val="22"/>
          <w:szCs w:val="22"/>
          <w:lang w:bidi="ar"/>
        </w:rPr>
        <w:t>%。</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cs="宋体"/>
          <w:color w:val="000000"/>
          <w:sz w:val="22"/>
          <w:szCs w:val="22"/>
          <w:lang w:bidi="ar"/>
        </w:rPr>
      </w:pPr>
      <w:r>
        <w:rPr>
          <w:rFonts w:hint="eastAsia" w:ascii="宋体" w:hAnsi="宋体" w:cs="宋体"/>
          <w:color w:val="000000"/>
          <w:sz w:val="22"/>
          <w:szCs w:val="22"/>
          <w:lang w:bidi="ar"/>
        </w:rPr>
        <w:t>按照经济分类支出情况如下：</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cs="宋体"/>
          <w:color w:val="000000"/>
          <w:sz w:val="22"/>
          <w:szCs w:val="22"/>
          <w:lang w:bidi="ar"/>
        </w:rPr>
      </w:pPr>
      <w:r>
        <w:rPr>
          <w:rFonts w:hint="eastAsia" w:ascii="宋体" w:hAnsi="宋体" w:cs="宋体"/>
          <w:color w:val="000000"/>
          <w:sz w:val="22"/>
          <w:szCs w:val="22"/>
          <w:lang w:bidi="ar"/>
        </w:rPr>
        <w:t>①工资福利支出1127.27万元，支付职工工资、津补贴、绩效工资及社会缴费等。</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cs="宋体"/>
          <w:color w:val="000000"/>
          <w:sz w:val="22"/>
          <w:szCs w:val="22"/>
          <w:lang w:bidi="ar"/>
        </w:rPr>
      </w:pPr>
      <w:r>
        <w:rPr>
          <w:rFonts w:hint="eastAsia" w:ascii="宋体" w:hAnsi="宋体" w:cs="宋体"/>
          <w:color w:val="000000"/>
          <w:sz w:val="22"/>
          <w:szCs w:val="22"/>
          <w:lang w:bidi="ar"/>
        </w:rPr>
        <w:t>②对个人和家庭补助支出</w:t>
      </w:r>
      <w:r>
        <w:rPr>
          <w:rFonts w:hint="eastAsia" w:ascii="宋体" w:hAnsi="宋体" w:cs="宋体"/>
          <w:color w:val="000000"/>
          <w:sz w:val="22"/>
          <w:szCs w:val="22"/>
          <w:lang w:val="en-US" w:eastAsia="zh-CN" w:bidi="ar"/>
        </w:rPr>
        <w:t>444.60</w:t>
      </w:r>
      <w:r>
        <w:rPr>
          <w:rFonts w:hint="eastAsia" w:ascii="宋体" w:hAnsi="宋体" w:cs="宋体"/>
          <w:color w:val="000000"/>
          <w:sz w:val="22"/>
          <w:szCs w:val="22"/>
          <w:lang w:bidi="ar"/>
        </w:rPr>
        <w:t>万元，主要开支退休费用、抚恤费、奖励金、其他对个人和家庭的补助等费用等。</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cs="宋体"/>
          <w:color w:val="000000"/>
          <w:sz w:val="22"/>
          <w:szCs w:val="22"/>
          <w:lang w:bidi="ar"/>
        </w:rPr>
      </w:pPr>
      <w:r>
        <w:rPr>
          <w:rFonts w:hint="eastAsia" w:ascii="宋体" w:hAnsi="宋体" w:cs="宋体"/>
          <w:color w:val="000000"/>
          <w:sz w:val="22"/>
          <w:szCs w:val="22"/>
          <w:lang w:bidi="ar"/>
        </w:rPr>
        <w:t>③商品和服务支出1117.90万元，主要用于办公费、印刷费、水电费、邮电费、取暖费、物业费、差旅费、维修（护）费、租赁费、会议费、培训费、公务接待费、劳务费、委托业务费、工会经费、公务用车运行费、其他交通费用、其他商品和服务支出等机关运转费用支出。</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cs="宋体"/>
          <w:color w:val="000000"/>
          <w:sz w:val="22"/>
          <w:szCs w:val="22"/>
          <w:lang w:bidi="ar"/>
        </w:rPr>
      </w:pPr>
      <w:r>
        <w:rPr>
          <w:rFonts w:hint="eastAsia" w:ascii="宋体" w:hAnsi="宋体" w:cs="宋体"/>
          <w:color w:val="000000"/>
          <w:sz w:val="22"/>
          <w:szCs w:val="22"/>
          <w:lang w:bidi="ar"/>
        </w:rPr>
        <w:t>④资本性支出</w:t>
      </w:r>
      <w:r>
        <w:rPr>
          <w:rFonts w:hint="eastAsia" w:ascii="宋体" w:hAnsi="宋体" w:cs="宋体"/>
          <w:color w:val="000000"/>
          <w:sz w:val="22"/>
          <w:szCs w:val="22"/>
          <w:lang w:val="en-US" w:eastAsia="zh-CN" w:bidi="ar"/>
        </w:rPr>
        <w:t>37.61</w:t>
      </w:r>
      <w:r>
        <w:rPr>
          <w:rFonts w:hint="eastAsia" w:ascii="宋体" w:hAnsi="宋体" w:cs="宋体"/>
          <w:color w:val="000000"/>
          <w:sz w:val="22"/>
          <w:szCs w:val="22"/>
          <w:lang w:bidi="ar"/>
        </w:rPr>
        <w:t>万元</w:t>
      </w:r>
      <w:r>
        <w:rPr>
          <w:rFonts w:hint="eastAsia" w:ascii="宋体" w:hAnsi="宋体" w:cs="宋体"/>
          <w:color w:val="000000"/>
          <w:sz w:val="22"/>
          <w:szCs w:val="22"/>
          <w:lang w:eastAsia="zh-CN" w:bidi="ar"/>
        </w:rPr>
        <w:t>，</w:t>
      </w:r>
      <w:r>
        <w:rPr>
          <w:rFonts w:hint="eastAsia" w:ascii="宋体" w:hAnsi="宋体" w:cs="宋体"/>
          <w:color w:val="000000"/>
          <w:sz w:val="22"/>
          <w:szCs w:val="22"/>
          <w:lang w:bidi="ar"/>
        </w:rPr>
        <w:t>主要用于办公设备购置、其他资本性支出。</w:t>
      </w:r>
    </w:p>
    <w:p>
      <w:pPr>
        <w:pStyle w:val="14"/>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lang w:eastAsia="zh-CN" w:bidi="ar"/>
        </w:rPr>
      </w:pPr>
      <w:r>
        <w:rPr>
          <w:rFonts w:hint="eastAsia" w:ascii="宋体" w:hAnsi="宋体" w:cs="宋体"/>
          <w:color w:val="000000"/>
          <w:sz w:val="22"/>
          <w:szCs w:val="22"/>
          <w:lang w:bidi="ar"/>
        </w:rPr>
        <w:t>2023年度市自然资源和规划局机关实施的均为非基建项目</w:t>
      </w:r>
      <w:r>
        <w:rPr>
          <w:rFonts w:hint="eastAsia" w:ascii="宋体" w:hAnsi="宋体" w:cs="宋体"/>
          <w:color w:val="000000"/>
          <w:sz w:val="22"/>
          <w:szCs w:val="22"/>
          <w:lang w:eastAsia="zh-CN" w:bidi="ar"/>
        </w:rPr>
        <w:t>，</w:t>
      </w:r>
      <w:r>
        <w:rPr>
          <w:rFonts w:hint="eastAsia" w:ascii="宋体" w:hAnsi="宋体" w:cs="宋体"/>
          <w:color w:val="000000"/>
          <w:sz w:val="22"/>
          <w:szCs w:val="22"/>
          <w:lang w:bidi="ar"/>
        </w:rPr>
        <w:t>资金主要来源于财政专项拨款</w:t>
      </w:r>
      <w:r>
        <w:rPr>
          <w:rFonts w:hint="eastAsia" w:ascii="宋体" w:hAnsi="宋体" w:cs="宋体"/>
          <w:color w:val="000000"/>
          <w:sz w:val="22"/>
          <w:szCs w:val="22"/>
          <w:lang w:eastAsia="zh-CN" w:bidi="ar"/>
        </w:rPr>
        <w:t>，</w:t>
      </w:r>
      <w:r>
        <w:rPr>
          <w:rFonts w:hint="eastAsia" w:ascii="宋体" w:hAnsi="宋体" w:cs="宋体"/>
          <w:color w:val="000000"/>
          <w:sz w:val="22"/>
          <w:szCs w:val="22"/>
          <w:lang w:bidi="ar"/>
        </w:rPr>
        <w:t>项目</w:t>
      </w:r>
      <w:r>
        <w:rPr>
          <w:rFonts w:ascii="宋体" w:hAnsi="宋体" w:cs="宋体"/>
          <w:color w:val="000000"/>
          <w:sz w:val="22"/>
          <w:szCs w:val="22"/>
          <w:lang w:bidi="ar"/>
        </w:rPr>
        <w:t>支出</w:t>
      </w:r>
      <w:r>
        <w:rPr>
          <w:rFonts w:hint="eastAsia" w:ascii="宋体" w:hAnsi="宋体" w:cs="宋体"/>
          <w:color w:val="000000"/>
          <w:sz w:val="22"/>
          <w:szCs w:val="22"/>
          <w:lang w:val="en-US" w:eastAsia="zh-CN" w:bidi="ar"/>
        </w:rPr>
        <w:t>4063.14</w:t>
      </w:r>
      <w:r>
        <w:rPr>
          <w:rFonts w:ascii="宋体" w:hAnsi="宋体" w:cs="宋体"/>
          <w:color w:val="000000"/>
          <w:sz w:val="22"/>
          <w:szCs w:val="22"/>
          <w:lang w:bidi="ar"/>
        </w:rPr>
        <w:t>万元，其中</w:t>
      </w:r>
      <w:r>
        <w:rPr>
          <w:rFonts w:hint="eastAsia" w:ascii="宋体" w:hAnsi="宋体" w:cs="宋体"/>
          <w:color w:val="000000"/>
          <w:sz w:val="22"/>
          <w:szCs w:val="22"/>
          <w:lang w:bidi="ar"/>
        </w:rPr>
        <w:t>：科学技术支出77.86</w:t>
      </w:r>
      <w:r>
        <w:rPr>
          <w:rFonts w:hint="eastAsia" w:ascii="宋体" w:hAnsi="宋体" w:cs="宋体"/>
          <w:color w:val="000000"/>
          <w:sz w:val="22"/>
          <w:szCs w:val="22"/>
          <w:lang w:eastAsia="zh-CN" w:bidi="ar"/>
        </w:rPr>
        <w:t>万元，</w:t>
      </w:r>
      <w:r>
        <w:rPr>
          <w:rFonts w:hint="eastAsia" w:ascii="宋体" w:hAnsi="宋体" w:cs="宋体"/>
          <w:color w:val="000000"/>
          <w:sz w:val="22"/>
          <w:szCs w:val="22"/>
          <w:lang w:bidi="ar"/>
        </w:rPr>
        <w:t>日常工作运转7.01</w:t>
      </w:r>
      <w:r>
        <w:rPr>
          <w:rFonts w:hint="eastAsia" w:ascii="宋体" w:hAnsi="宋体" w:cs="宋体"/>
          <w:color w:val="000000"/>
          <w:sz w:val="22"/>
          <w:szCs w:val="22"/>
          <w:lang w:eastAsia="zh-CN" w:bidi="ar"/>
        </w:rPr>
        <w:t>万元，</w:t>
      </w:r>
      <w:r>
        <w:rPr>
          <w:rFonts w:hint="eastAsia" w:ascii="宋体" w:hAnsi="宋体" w:cs="宋体"/>
          <w:color w:val="000000"/>
          <w:sz w:val="22"/>
          <w:szCs w:val="22"/>
          <w:lang w:bidi="ar"/>
        </w:rPr>
        <w:t>日常管理工作98.09</w:t>
      </w:r>
      <w:r>
        <w:rPr>
          <w:rFonts w:hint="eastAsia" w:ascii="宋体" w:hAnsi="宋体" w:cs="宋体"/>
          <w:color w:val="000000"/>
          <w:sz w:val="22"/>
          <w:szCs w:val="22"/>
          <w:lang w:eastAsia="zh-CN" w:bidi="ar"/>
        </w:rPr>
        <w:t>万元，</w:t>
      </w:r>
      <w:r>
        <w:rPr>
          <w:rFonts w:hint="eastAsia" w:ascii="宋体" w:hAnsi="宋体" w:cs="宋体"/>
          <w:color w:val="000000"/>
          <w:sz w:val="22"/>
          <w:szCs w:val="22"/>
          <w:lang w:bidi="ar"/>
        </w:rPr>
        <w:t>城乡社区管理事务支出550.36</w:t>
      </w:r>
      <w:r>
        <w:rPr>
          <w:rFonts w:hint="eastAsia" w:ascii="宋体" w:hAnsi="宋体" w:cs="宋体"/>
          <w:color w:val="000000"/>
          <w:sz w:val="22"/>
          <w:szCs w:val="22"/>
          <w:lang w:eastAsia="zh-CN" w:bidi="ar"/>
        </w:rPr>
        <w:t>万元，</w:t>
      </w:r>
      <w:r>
        <w:rPr>
          <w:rFonts w:hint="eastAsia" w:ascii="宋体" w:hAnsi="宋体" w:cs="宋体"/>
          <w:color w:val="000000"/>
          <w:sz w:val="22"/>
          <w:szCs w:val="22"/>
          <w:lang w:bidi="ar"/>
        </w:rPr>
        <w:t>城乡社区支出2,279.05</w:t>
      </w:r>
      <w:r>
        <w:rPr>
          <w:rFonts w:hint="eastAsia" w:ascii="宋体" w:hAnsi="宋体" w:cs="宋体"/>
          <w:color w:val="000000"/>
          <w:sz w:val="22"/>
          <w:szCs w:val="22"/>
          <w:lang w:eastAsia="zh-CN" w:bidi="ar"/>
        </w:rPr>
        <w:t>万元，</w:t>
      </w:r>
      <w:r>
        <w:rPr>
          <w:rFonts w:hint="eastAsia" w:ascii="宋体" w:hAnsi="宋体" w:cs="宋体"/>
          <w:color w:val="000000"/>
          <w:sz w:val="22"/>
          <w:szCs w:val="22"/>
          <w:lang w:bidi="ar"/>
        </w:rPr>
        <w:t>自然资源事务运转214.78</w:t>
      </w:r>
      <w:r>
        <w:rPr>
          <w:rFonts w:hint="eastAsia" w:ascii="宋体" w:hAnsi="宋体" w:cs="宋体"/>
          <w:color w:val="000000"/>
          <w:sz w:val="22"/>
          <w:szCs w:val="22"/>
          <w:lang w:eastAsia="zh-CN" w:bidi="ar"/>
        </w:rPr>
        <w:t>万元，</w:t>
      </w:r>
      <w:r>
        <w:rPr>
          <w:rFonts w:hint="eastAsia" w:ascii="宋体" w:hAnsi="宋体" w:cs="宋体"/>
          <w:color w:val="000000"/>
          <w:sz w:val="22"/>
          <w:szCs w:val="22"/>
          <w:lang w:bidi="ar"/>
        </w:rPr>
        <w:t>地质灾害防治应急经费835.99</w:t>
      </w:r>
      <w:r>
        <w:rPr>
          <w:rFonts w:hint="eastAsia" w:ascii="宋体" w:hAnsi="宋体" w:cs="宋体"/>
          <w:color w:val="000000"/>
          <w:sz w:val="22"/>
          <w:szCs w:val="22"/>
          <w:lang w:eastAsia="zh-CN" w:bidi="ar"/>
        </w:rPr>
        <w:t>万元。</w:t>
      </w:r>
    </w:p>
    <w:p>
      <w:pPr>
        <w:pStyle w:val="14"/>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pPr>
        <w:pStyle w:val="14"/>
        <w:widowControl/>
        <w:spacing w:line="640" w:lineRule="exact"/>
        <w:ind w:firstLine="440"/>
        <w:rPr>
          <w:rFonts w:ascii="宋体" w:hAnsi="宋体" w:cs="宋体"/>
          <w:color w:val="000000"/>
          <w:sz w:val="22"/>
          <w:lang w:bidi="ar"/>
        </w:rPr>
      </w:pPr>
      <w:r>
        <w:rPr>
          <w:rFonts w:ascii="宋体" w:hAnsi="宋体" w:cs="宋体"/>
          <w:color w:val="000000"/>
          <w:sz w:val="22"/>
          <w:lang w:bidi="ar"/>
        </w:rPr>
        <w:t>2023年</w:t>
      </w:r>
      <w:r>
        <w:rPr>
          <w:rFonts w:hint="eastAsia" w:ascii="宋体" w:hAnsi="宋体" w:cs="宋体"/>
          <w:color w:val="000000"/>
          <w:sz w:val="22"/>
          <w:lang w:bidi="ar"/>
        </w:rPr>
        <w:t>我局</w:t>
      </w:r>
      <w:r>
        <w:rPr>
          <w:rFonts w:ascii="宋体" w:hAnsi="宋体" w:cs="宋体"/>
          <w:color w:val="000000"/>
          <w:sz w:val="22"/>
          <w:lang w:bidi="ar"/>
        </w:rPr>
        <w:t>没有使用政府性基金预算安排的支出。</w:t>
      </w:r>
    </w:p>
    <w:p>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pPr>
        <w:pStyle w:val="14"/>
        <w:widowControl/>
        <w:spacing w:line="640" w:lineRule="exact"/>
        <w:ind w:firstLine="440"/>
        <w:rPr>
          <w:rFonts w:ascii="宋体" w:hAnsi="宋体" w:cs="宋体"/>
          <w:color w:val="000000"/>
          <w:sz w:val="22"/>
          <w:lang w:bidi="ar"/>
        </w:rPr>
      </w:pPr>
      <w:r>
        <w:rPr>
          <w:rFonts w:ascii="宋体" w:hAnsi="宋体" w:cs="宋体"/>
          <w:color w:val="000000"/>
          <w:sz w:val="22"/>
          <w:lang w:bidi="ar"/>
        </w:rPr>
        <w:t>2023年</w:t>
      </w:r>
      <w:r>
        <w:rPr>
          <w:rFonts w:hint="eastAsia" w:ascii="宋体" w:hAnsi="宋体" w:cs="宋体"/>
          <w:color w:val="000000"/>
          <w:sz w:val="22"/>
          <w:lang w:bidi="ar"/>
        </w:rPr>
        <w:t>我局</w:t>
      </w:r>
      <w:r>
        <w:rPr>
          <w:rFonts w:ascii="宋体" w:hAnsi="宋体" w:cs="宋体"/>
          <w:color w:val="000000"/>
          <w:sz w:val="22"/>
          <w:lang w:bidi="ar"/>
        </w:rPr>
        <w:t>没有使用国有资本经营预算安排的支出。</w:t>
      </w:r>
    </w:p>
    <w:p>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pPr>
        <w:pStyle w:val="14"/>
        <w:widowControl/>
        <w:spacing w:line="640" w:lineRule="exact"/>
        <w:ind w:firstLine="440"/>
        <w:rPr>
          <w:rFonts w:ascii="宋体" w:hAnsi="宋体" w:cs="宋体"/>
          <w:color w:val="000000"/>
          <w:sz w:val="22"/>
          <w:lang w:bidi="ar"/>
        </w:rPr>
      </w:pPr>
      <w:r>
        <w:rPr>
          <w:rFonts w:ascii="宋体" w:hAnsi="宋体" w:cs="宋体"/>
          <w:color w:val="000000"/>
          <w:sz w:val="22"/>
          <w:lang w:bidi="ar"/>
        </w:rPr>
        <w:t>2023年</w:t>
      </w:r>
      <w:r>
        <w:rPr>
          <w:rFonts w:hint="eastAsia" w:ascii="宋体" w:hAnsi="宋体" w:cs="宋体"/>
          <w:color w:val="000000"/>
          <w:sz w:val="22"/>
          <w:lang w:bidi="ar"/>
        </w:rPr>
        <w:t>我局</w:t>
      </w:r>
      <w:r>
        <w:rPr>
          <w:rFonts w:ascii="宋体" w:hAnsi="宋体" w:cs="宋体"/>
          <w:color w:val="000000"/>
          <w:sz w:val="22"/>
          <w:lang w:bidi="ar"/>
        </w:rPr>
        <w:t>没有使用社会保险基金预算安排的支出。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14"/>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（一）绩效评价工作的目的</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过绩效评价，全面了解工作目标是否合理；工作计划与实际完成情况之间的差异；管理制度健全性；实际人员与编制人员的控制比率；完成重点项目的力度；预算执行的完成率；支付进度率；“三公经费”控制率；政府采购执行率；资金使用合规性；资产管理利用率；社会效益、经济效益、服务对象满意率等。充分发挥财政资金的使用效益，更好地为国土资源事业服务。</w:t>
      </w:r>
    </w:p>
    <w:p>
      <w:pPr>
        <w:pStyle w:val="14"/>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（二）绩效自评的主要依据</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1、绩效评价相关依据：《中华人民共和国预算法》、岳阳市财政局</w:t>
      </w:r>
      <w:r>
        <w:rPr>
          <w:rFonts w:hint="eastAsia" w:ascii="宋体" w:hAnsi="宋体" w:cs="宋体"/>
          <w:color w:val="000000"/>
          <w:sz w:val="22"/>
          <w:szCs w:val="22"/>
          <w:highlight w:val="none"/>
          <w:lang w:eastAsia="zh-CN"/>
        </w:rPr>
        <w:t>《岳阳市市级预算部门绩效自评操作规程》、《</w:t>
      </w:r>
      <w:r>
        <w:rPr>
          <w:rFonts w:hint="eastAsia" w:ascii="宋体" w:hAnsi="宋体" w:eastAsia="宋体" w:cs="宋体"/>
          <w:color w:val="000000"/>
          <w:sz w:val="22"/>
          <w:szCs w:val="22"/>
          <w:highlight w:val="none"/>
        </w:rPr>
        <w:t>岳阳市财政局关于开展2023年度市级预算绩效支出绩效自评工作的通知》。</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2、市自然资源和规划局相关资料：“三定”方案</w:t>
      </w:r>
      <w:r>
        <w:rPr>
          <w:rFonts w:hint="eastAsia" w:ascii="宋体" w:hAnsi="宋体" w:cs="宋体"/>
          <w:color w:val="000000"/>
          <w:sz w:val="22"/>
          <w:szCs w:val="22"/>
          <w:highlight w:val="none"/>
          <w:lang w:eastAsia="zh-CN"/>
        </w:rPr>
        <w:t>；</w:t>
      </w:r>
      <w:r>
        <w:rPr>
          <w:rFonts w:hint="eastAsia" w:ascii="宋体" w:hAnsi="宋体" w:eastAsia="宋体" w:cs="宋体"/>
          <w:color w:val="000000"/>
          <w:sz w:val="22"/>
          <w:szCs w:val="22"/>
          <w:highlight w:val="none"/>
        </w:rPr>
        <w:t>市自然资源和规划局202</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年决算报表</w:t>
      </w:r>
      <w:r>
        <w:rPr>
          <w:rFonts w:hint="eastAsia" w:ascii="宋体" w:hAnsi="宋体" w:cs="宋体"/>
          <w:color w:val="000000"/>
          <w:sz w:val="22"/>
          <w:szCs w:val="22"/>
          <w:highlight w:val="none"/>
          <w:lang w:eastAsia="zh-CN"/>
        </w:rPr>
        <w:t>；</w:t>
      </w:r>
      <w:r>
        <w:rPr>
          <w:rFonts w:hint="eastAsia" w:ascii="宋体" w:hAnsi="宋体" w:cs="宋体"/>
          <w:color w:val="000000"/>
          <w:sz w:val="22"/>
          <w:szCs w:val="22"/>
          <w:highlight w:val="none"/>
          <w:lang w:val="en-US" w:eastAsia="zh-CN"/>
        </w:rPr>
        <w:t>2023年工作总结及2024年工作计划。</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3、相关行业政策、行业标准及专业技术规范</w:t>
      </w:r>
      <w:r>
        <w:rPr>
          <w:rFonts w:hint="eastAsia" w:ascii="宋体" w:hAnsi="宋体" w:cs="宋体"/>
          <w:color w:val="000000"/>
          <w:sz w:val="22"/>
          <w:szCs w:val="22"/>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4、其他相关资料。</w:t>
      </w:r>
    </w:p>
    <w:p>
      <w:pPr>
        <w:pStyle w:val="14"/>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（三）部门整体支出评价原则、指标评价体系、评价方法</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1、部门整体支出评价原则</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遵循客观公正，操作简便高效，尊重客观实际，实事求是的原则。</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2、部门整体支出指标评价体系</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指标体系包括共性指标和个性指标两部分，本次主要参照了财政部门制定的《部门整体支出绩效评价指标体系》的相关内容，根据部门具体情况对个性指标进行了调整细化，形成了市资规局</w:t>
      </w:r>
      <w:r>
        <w:rPr>
          <w:rFonts w:hint="eastAsia" w:ascii="宋体" w:hAnsi="宋体" w:cs="宋体"/>
          <w:color w:val="000000"/>
          <w:sz w:val="22"/>
          <w:szCs w:val="22"/>
          <w:highlight w:val="none"/>
          <w:lang w:val="en-US" w:eastAsia="zh-CN"/>
        </w:rPr>
        <w:t>2023年</w:t>
      </w:r>
      <w:r>
        <w:rPr>
          <w:rFonts w:hint="eastAsia" w:ascii="宋体" w:hAnsi="宋体" w:eastAsia="宋体" w:cs="宋体"/>
          <w:color w:val="000000"/>
          <w:sz w:val="22"/>
          <w:szCs w:val="22"/>
          <w:highlight w:val="none"/>
        </w:rPr>
        <w:t>整体支出绩效评价指标体系。</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3、评分等级标准。</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评价等次分为优秀（S≧90）、良好（90&gt;S≧80）、合格（80&gt;S≧70）不合格S&lt;70）4个评价等次。</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4、本次绩效评价方法</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主要采取目标评价法、询问查证法及定性和定量相结合的方法进行评分；通过听取项目情况介绍，评价人员座谈交流等方式进行定性评分；制定评价指标，通过评价指标对项目进行定量评分。  </w:t>
      </w:r>
    </w:p>
    <w:p>
      <w:pPr>
        <w:pStyle w:val="14"/>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（四）绩效评价工作过程</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1、前期准备： 按照市财政对绩效评价的要求我单位成立了绩效评价小组，并进行职责分工，下发评价通知。根据资规局机关202</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年工作重点及计划完成情况，制定的绩效评价工作方案，设计了绩效评价指标体系和问卷调查表。</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2、组织实施：评价小组核查</w:t>
      </w:r>
      <w:r>
        <w:rPr>
          <w:rFonts w:hint="eastAsia" w:ascii="宋体" w:hAnsi="宋体" w:cs="宋体"/>
          <w:color w:val="000000"/>
          <w:sz w:val="22"/>
          <w:szCs w:val="22"/>
          <w:highlight w:val="none"/>
          <w:lang w:val="en-US" w:eastAsia="zh-CN"/>
        </w:rPr>
        <w:t>2023</w:t>
      </w:r>
      <w:r>
        <w:rPr>
          <w:rFonts w:hint="eastAsia" w:ascii="宋体" w:hAnsi="宋体" w:eastAsia="宋体" w:cs="宋体"/>
          <w:color w:val="000000"/>
          <w:sz w:val="22"/>
          <w:szCs w:val="22"/>
          <w:highlight w:val="none"/>
        </w:rPr>
        <w:t>年岳阳市财政预算批复执行及部门整体支出情况，着重核查了“三公”经费及资产管理、内部控制制度情况，认真对照上级下达的目标任务及单位工作计划等文件，核实年度目标定性、定量目标任务完成情况，并按照绩效评价自评表分值进行自评分；通过财务数据分析当年收入、支出、结余情况，编制基础数据。</w:t>
      </w:r>
    </w:p>
    <w:p>
      <w:pPr>
        <w:pStyle w:val="14"/>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default" w:ascii="Times New Roman" w:hAnsi="Times New Roman" w:eastAsia="仿宋_GB2312" w:cs="Times New Roman"/>
          <w:color w:val="000000"/>
          <w:sz w:val="32"/>
          <w:szCs w:val="32"/>
          <w:highlight w:val="none"/>
        </w:rPr>
      </w:pPr>
      <w:r>
        <w:rPr>
          <w:rFonts w:hint="eastAsia" w:ascii="宋体" w:hAnsi="宋体" w:eastAsia="宋体" w:cs="宋体"/>
          <w:color w:val="000000"/>
          <w:sz w:val="22"/>
          <w:szCs w:val="22"/>
          <w:highlight w:val="none"/>
        </w:rPr>
        <w:t>3、撰写自评报告。评价小组根据绩效评价收集资料及数据，进行分析、核算、讨论、汇总，形成自评报告初稿，经相关领导审核后形成《岳阳市自然资源和规划局</w:t>
      </w:r>
      <w:r>
        <w:rPr>
          <w:rFonts w:hint="eastAsia" w:ascii="宋体" w:hAnsi="宋体" w:cs="宋体"/>
          <w:color w:val="000000"/>
          <w:sz w:val="22"/>
          <w:szCs w:val="22"/>
          <w:highlight w:val="none"/>
          <w:lang w:eastAsia="zh-CN"/>
        </w:rPr>
        <w:t>本级</w:t>
      </w:r>
      <w:r>
        <w:rPr>
          <w:rFonts w:hint="eastAsia" w:ascii="宋体" w:hAnsi="宋体" w:eastAsia="宋体" w:cs="宋体"/>
          <w:color w:val="000000"/>
          <w:sz w:val="22"/>
          <w:szCs w:val="22"/>
          <w:highlight w:val="none"/>
        </w:rPr>
        <w:t>202</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年整体支出绩效自评报告》。</w:t>
      </w:r>
    </w:p>
    <w:p>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440" w:firstLineChars="200"/>
        <w:jc w:val="both"/>
        <w:textAlignment w:val="auto"/>
        <w:rPr>
          <w:rFonts w:hint="default" w:ascii="宋体" w:hAnsi="宋体" w:eastAsia="宋体" w:cs="宋体"/>
          <w:color w:val="000000"/>
          <w:kern w:val="0"/>
          <w:sz w:val="22"/>
          <w:szCs w:val="22"/>
          <w:highlight w:val="none"/>
          <w:lang w:val="en-US" w:eastAsia="zh-CN" w:bidi="ar-SA"/>
        </w:rPr>
      </w:pPr>
      <w:r>
        <w:rPr>
          <w:rFonts w:hint="default" w:ascii="宋体" w:hAnsi="宋体" w:eastAsia="宋体" w:cs="宋体"/>
          <w:color w:val="000000"/>
          <w:kern w:val="0"/>
          <w:sz w:val="22"/>
          <w:szCs w:val="22"/>
          <w:highlight w:val="none"/>
          <w:lang w:val="en-US" w:eastAsia="zh-CN" w:bidi="ar-SA"/>
        </w:rPr>
        <w:t>绩效目标申报工作有待加强。年初进行绩效目标申报时，</w:t>
      </w:r>
      <w:r>
        <w:rPr>
          <w:rFonts w:hint="eastAsia" w:ascii="宋体" w:hAnsi="宋体" w:cs="宋体"/>
          <w:color w:val="000000"/>
          <w:kern w:val="0"/>
          <w:sz w:val="22"/>
          <w:szCs w:val="22"/>
          <w:highlight w:val="none"/>
          <w:lang w:val="en-US" w:eastAsia="zh-CN" w:bidi="ar-SA"/>
        </w:rPr>
        <w:t>仅申报了山水项目，三区三线项目未做项目申报，可以提升绩效管理理念，年初进行绩效目标申报时，</w:t>
      </w:r>
      <w:r>
        <w:rPr>
          <w:rFonts w:hint="default" w:ascii="宋体" w:hAnsi="宋体" w:eastAsia="宋体" w:cs="宋体"/>
          <w:color w:val="000000"/>
          <w:kern w:val="0"/>
          <w:sz w:val="22"/>
          <w:szCs w:val="22"/>
          <w:highlight w:val="none"/>
          <w:lang w:val="en-US" w:eastAsia="zh-CN" w:bidi="ar-SA"/>
        </w:rPr>
        <w:t>注意绩效指标可细化</w:t>
      </w:r>
      <w:r>
        <w:rPr>
          <w:rFonts w:hint="eastAsia" w:ascii="宋体" w:hAnsi="宋体" w:cs="宋体"/>
          <w:color w:val="000000"/>
          <w:kern w:val="0"/>
          <w:sz w:val="22"/>
          <w:szCs w:val="22"/>
          <w:highlight w:val="none"/>
          <w:lang w:val="en-US" w:eastAsia="zh-CN" w:bidi="ar-SA"/>
        </w:rPr>
        <w:t>、可</w:t>
      </w:r>
      <w:r>
        <w:rPr>
          <w:rFonts w:hint="default" w:ascii="宋体" w:hAnsi="宋体" w:eastAsia="宋体" w:cs="宋体"/>
          <w:color w:val="000000"/>
          <w:kern w:val="0"/>
          <w:sz w:val="22"/>
          <w:szCs w:val="22"/>
          <w:highlight w:val="none"/>
          <w:lang w:val="en-US" w:eastAsia="zh-CN" w:bidi="ar-SA"/>
        </w:rPr>
        <w:t>量化、可衡量，进一步提高绩效管理水平。</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pStyle w:val="2"/>
        <w:numPr>
          <w:ilvl w:val="0"/>
          <w:numId w:val="0"/>
        </w:numPr>
        <w:ind w:firstLine="420" w:firstLineChars="0"/>
        <w:rPr>
          <w:rFonts w:hint="default" w:ascii="宋体" w:hAnsi="宋体" w:eastAsia="宋体" w:cs="宋体"/>
          <w:color w:val="000000"/>
          <w:kern w:val="0"/>
          <w:sz w:val="22"/>
          <w:szCs w:val="22"/>
          <w:highlight w:val="none"/>
          <w:lang w:val="en-US" w:eastAsia="zh-CN" w:bidi="ar-SA"/>
        </w:rPr>
      </w:pPr>
      <w:r>
        <w:rPr>
          <w:rFonts w:hint="default" w:ascii="宋体" w:hAnsi="宋体" w:eastAsia="宋体" w:cs="宋体"/>
          <w:color w:val="000000"/>
          <w:kern w:val="0"/>
          <w:sz w:val="22"/>
          <w:szCs w:val="22"/>
          <w:highlight w:val="none"/>
          <w:lang w:val="en-US" w:eastAsia="zh-CN" w:bidi="ar-SA"/>
        </w:rPr>
        <w:t>1、提升绩效管理理念。年初绩效目标申请时注意覆盖主要工作职责，做到部门整体绩效目标与部门履职、年度工作任务相匹配，绩效指标应细化、量化、可衡量；加强对项目支出绩效目标管理，按绩效管理要求，项目资金拨付，应申请绩效目标，应纳入绩效目标考核绩效目标管理，提高绩效管理水平。</w:t>
      </w:r>
    </w:p>
    <w:p>
      <w:pPr>
        <w:pStyle w:val="2"/>
        <w:numPr>
          <w:ilvl w:val="0"/>
          <w:numId w:val="0"/>
        </w:numPr>
        <w:ind w:firstLine="420" w:firstLineChars="0"/>
        <w:rPr>
          <w:rFonts w:hint="default" w:ascii="宋体" w:hAnsi="宋体" w:eastAsia="宋体" w:cs="宋体"/>
          <w:color w:val="000000"/>
          <w:kern w:val="0"/>
          <w:sz w:val="22"/>
          <w:szCs w:val="22"/>
          <w:highlight w:val="none"/>
          <w:lang w:val="en-US" w:eastAsia="zh-CN" w:bidi="ar-SA"/>
        </w:rPr>
      </w:pPr>
      <w:r>
        <w:rPr>
          <w:rFonts w:hint="default" w:ascii="宋体" w:hAnsi="宋体" w:eastAsia="宋体" w:cs="宋体"/>
          <w:color w:val="000000"/>
          <w:kern w:val="0"/>
          <w:sz w:val="22"/>
          <w:szCs w:val="22"/>
          <w:highlight w:val="none"/>
          <w:lang w:val="en-US" w:eastAsia="zh-CN" w:bidi="ar-SA"/>
        </w:rPr>
        <w:t>2、加强项目支出的绩效自评。根据绩效管理要求，项目实施部门选择部分项目进行绩效自评，评价项目资金投入和使用情况，项目主要任务完成情况，项目绩效情况；通过自评，及时发现问题，及时整改，保障项目按时、按质、按量完成绩效目标。</w:t>
      </w:r>
    </w:p>
    <w:p>
      <w:pPr>
        <w:pStyle w:val="2"/>
        <w:numPr>
          <w:ilvl w:val="0"/>
          <w:numId w:val="0"/>
        </w:numPr>
        <w:ind w:firstLine="420" w:firstLineChars="0"/>
        <w:rPr>
          <w:rFonts w:hint="default" w:ascii="宋体" w:hAnsi="宋体" w:eastAsia="宋体" w:cs="宋体"/>
          <w:color w:val="000000"/>
          <w:kern w:val="0"/>
          <w:sz w:val="22"/>
          <w:szCs w:val="22"/>
          <w:highlight w:val="none"/>
          <w:lang w:val="en-US" w:eastAsia="zh-CN" w:bidi="ar-SA"/>
        </w:rPr>
      </w:pPr>
      <w:r>
        <w:rPr>
          <w:rFonts w:hint="default" w:ascii="宋体" w:hAnsi="宋体" w:eastAsia="宋体" w:cs="宋体"/>
          <w:color w:val="000000"/>
          <w:kern w:val="0"/>
          <w:sz w:val="22"/>
          <w:szCs w:val="22"/>
          <w:highlight w:val="none"/>
          <w:lang w:val="en-US" w:eastAsia="zh-CN" w:bidi="ar-SA"/>
        </w:rPr>
        <w:t>3、合理编制年度预算。参考上年度预算执行情况和本年度收支预测，</w:t>
      </w:r>
      <w:r>
        <w:rPr>
          <w:rFonts w:hint="eastAsia" w:ascii="宋体" w:hAnsi="宋体" w:eastAsia="宋体" w:cs="宋体"/>
          <w:color w:val="000000"/>
          <w:kern w:val="0"/>
          <w:sz w:val="22"/>
          <w:szCs w:val="22"/>
          <w:highlight w:val="none"/>
          <w:lang w:val="en-US" w:eastAsia="zh-CN" w:bidi="ar-SA"/>
        </w:rPr>
        <w:t>制定</w:t>
      </w:r>
      <w:r>
        <w:rPr>
          <w:rFonts w:hint="default" w:ascii="宋体" w:hAnsi="宋体" w:eastAsia="宋体" w:cs="宋体"/>
          <w:color w:val="000000"/>
          <w:kern w:val="0"/>
          <w:sz w:val="22"/>
          <w:szCs w:val="22"/>
          <w:highlight w:val="none"/>
          <w:lang w:val="en-US" w:eastAsia="zh-CN" w:bidi="ar-SA"/>
        </w:rPr>
        <w:t>科学合理的预算标准，将预算支出项目细化，遵循实事求是的原则，进一步提高预算的可执行性。</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pStyle w:val="2"/>
        <w:spacing w:line="640" w:lineRule="exact"/>
        <w:ind w:firstLine="440" w:firstLineChars="200"/>
        <w:rPr>
          <w:rFonts w:hint="default" w:ascii="宋体" w:hAnsi="宋体" w:eastAsia="宋体" w:cs="宋体"/>
          <w:color w:val="000000"/>
          <w:sz w:val="22"/>
          <w:szCs w:val="22"/>
          <w:lang w:val="en-US" w:eastAsia="zh-CN" w:bidi="ar"/>
        </w:rPr>
      </w:pPr>
      <w:r>
        <w:rPr>
          <w:rFonts w:hint="eastAsia" w:ascii="宋体" w:hAnsi="宋体" w:eastAsia="宋体" w:cs="宋体"/>
          <w:color w:val="000000"/>
          <w:sz w:val="22"/>
          <w:szCs w:val="22"/>
          <w:lang w:val="en-US" w:eastAsia="zh-CN" w:bidi="ar"/>
        </w:rPr>
        <w:t>2023年全体工作人员认真履行本部门职责职能，紧紧围绕部门全年工作重点，制订了详细、具体目标，较好地完成各项年度目标任务，全面推进自然资源各项工作高质量发展，具有良好社会效益、经济效益、生态环境效益。</w:t>
      </w:r>
    </w:p>
    <w:p>
      <w:pPr>
        <w:pStyle w:val="2"/>
        <w:spacing w:line="640" w:lineRule="exact"/>
        <w:ind w:firstLine="440" w:firstLineChars="200"/>
        <w:rPr>
          <w:lang w:eastAsia="zh-CN"/>
        </w:rPr>
      </w:pPr>
      <w:r>
        <w:rPr>
          <w:rFonts w:hint="eastAsia" w:ascii="宋体" w:hAnsi="宋体" w:eastAsia="宋体" w:cs="宋体"/>
          <w:color w:val="000000"/>
          <w:sz w:val="22"/>
          <w:szCs w:val="22"/>
          <w:lang w:eastAsia="zh-CN" w:bidi="ar"/>
        </w:rPr>
        <w:t>局机关绩效自评结果为优秀等级，下一步将根据财政检查绩效自评发现的问题等进行改善，并按政务公开的相关规定，及时将部门整体支出及项目绩效自评报告，通过门户网站向社会公开。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pPr>
        <w:pStyle w:val="2"/>
        <w:numPr>
          <w:ilvl w:val="0"/>
          <w:numId w:val="0"/>
        </w:numPr>
        <w:ind w:firstLine="420" w:firstLineChars="0"/>
        <w:rPr>
          <w:rFonts w:hint="default" w:ascii="宋体" w:hAnsi="宋体" w:eastAsia="宋体" w:cs="宋体"/>
          <w:color w:val="000000"/>
          <w:kern w:val="0"/>
          <w:sz w:val="22"/>
          <w:szCs w:val="22"/>
          <w:highlight w:val="none"/>
          <w:lang w:val="en-US" w:eastAsia="zh-CN" w:bidi="ar-SA"/>
        </w:rPr>
      </w:pPr>
      <w:r>
        <w:rPr>
          <w:rFonts w:hint="default" w:ascii="宋体" w:hAnsi="宋体" w:eastAsia="宋体" w:cs="宋体"/>
          <w:color w:val="000000"/>
          <w:kern w:val="0"/>
          <w:sz w:val="22"/>
          <w:szCs w:val="22"/>
          <w:highlight w:val="none"/>
          <w:lang w:val="en-US" w:eastAsia="zh-CN" w:bidi="ar-SA"/>
        </w:rPr>
        <w:t>无其他需要说明的问题</w:t>
      </w:r>
      <w:r>
        <w:rPr>
          <w:rFonts w:hint="eastAsia" w:ascii="宋体" w:hAnsi="宋体" w:eastAsia="宋体" w:cs="宋体"/>
          <w:color w:val="000000"/>
          <w:kern w:val="0"/>
          <w:sz w:val="22"/>
          <w:szCs w:val="2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4"/>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5B5B6"/>
    <w:multiLevelType w:val="singleLevel"/>
    <w:tmpl w:val="9745B5B6"/>
    <w:lvl w:ilvl="0" w:tentative="0">
      <w:start w:val="2"/>
      <w:numFmt w:val="chineseCounting"/>
      <w:suff w:val="nothing"/>
      <w:lvlText w:val="（%1）"/>
      <w:lvlJc w:val="left"/>
      <w:rPr>
        <w:rFonts w:hint="eastAsia"/>
      </w:rPr>
    </w:lvl>
  </w:abstractNum>
  <w:abstractNum w:abstractNumId="1">
    <w:nsid w:val="AA2E9367"/>
    <w:multiLevelType w:val="singleLevel"/>
    <w:tmpl w:val="AA2E9367"/>
    <w:lvl w:ilvl="0" w:tentative="0">
      <w:start w:val="1"/>
      <w:numFmt w:val="decimal"/>
      <w:suff w:val="nothing"/>
      <w:lvlText w:val="%1、"/>
      <w:lvlJc w:val="left"/>
      <w:pPr>
        <w:ind w:left="0" w:leftChars="0" w:firstLine="312" w:firstLineChars="0"/>
      </w:pPr>
      <w:rPr>
        <w:rFonts w:hint="default"/>
      </w:rPr>
    </w:lvl>
  </w:abstractNum>
  <w:abstractNum w:abstractNumId="2">
    <w:nsid w:val="5DDF8822"/>
    <w:multiLevelType w:val="singleLevel"/>
    <w:tmpl w:val="5DDF8822"/>
    <w:lvl w:ilvl="0" w:tentative="0">
      <w:start w:val="1"/>
      <w:numFmt w:val="decimal"/>
      <w:suff w:val="nothing"/>
      <w:lvlText w:val="%1、"/>
      <w:lvlJc w:val="left"/>
    </w:lvl>
  </w:abstractNum>
  <w:abstractNum w:abstractNumId="3">
    <w:nsid w:val="678A29F9"/>
    <w:multiLevelType w:val="singleLevel"/>
    <w:tmpl w:val="678A29F9"/>
    <w:lvl w:ilvl="0" w:tentative="0">
      <w:start w:val="8"/>
      <w:numFmt w:val="chineseCounting"/>
      <w:suff w:val="nothing"/>
      <w:lvlText w:val="%1、"/>
      <w:lvlJc w:val="left"/>
      <w:rPr>
        <w:rFonts w:hint="eastAsia"/>
      </w:rPr>
    </w:lvl>
  </w:abstractNum>
  <w:abstractNum w:abstractNumId="4">
    <w:nsid w:val="6D8BD5FD"/>
    <w:multiLevelType w:val="singleLevel"/>
    <w:tmpl w:val="6D8BD5FD"/>
    <w:lvl w:ilvl="0" w:tentative="0">
      <w:start w:val="3"/>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2RiODNhYzYwODk5ZTg2MTVmODIyMGIzNjA1OGYifQ=="/>
  </w:docVars>
  <w:rsids>
    <w:rsidRoot w:val="59886344"/>
    <w:rsid w:val="00051316"/>
    <w:rsid w:val="0078768E"/>
    <w:rsid w:val="009E7436"/>
    <w:rsid w:val="01080A12"/>
    <w:rsid w:val="011B27AF"/>
    <w:rsid w:val="026D3223"/>
    <w:rsid w:val="02F56D74"/>
    <w:rsid w:val="03196F07"/>
    <w:rsid w:val="037405E1"/>
    <w:rsid w:val="040278A8"/>
    <w:rsid w:val="043D5E4F"/>
    <w:rsid w:val="04A647CA"/>
    <w:rsid w:val="05041908"/>
    <w:rsid w:val="053A13B6"/>
    <w:rsid w:val="05654685"/>
    <w:rsid w:val="06F757B1"/>
    <w:rsid w:val="073F0F06"/>
    <w:rsid w:val="07614A6C"/>
    <w:rsid w:val="07CA4C73"/>
    <w:rsid w:val="080A5EB3"/>
    <w:rsid w:val="094D4E6D"/>
    <w:rsid w:val="09BE0882"/>
    <w:rsid w:val="09EB0ED1"/>
    <w:rsid w:val="0A1E3055"/>
    <w:rsid w:val="0A9926DB"/>
    <w:rsid w:val="0AF142C5"/>
    <w:rsid w:val="0B093D05"/>
    <w:rsid w:val="0B6E638C"/>
    <w:rsid w:val="0B892750"/>
    <w:rsid w:val="0CD34E7E"/>
    <w:rsid w:val="0D892EDB"/>
    <w:rsid w:val="0DEC6932"/>
    <w:rsid w:val="0E4D7C0C"/>
    <w:rsid w:val="0E7B0A75"/>
    <w:rsid w:val="0E8B47E0"/>
    <w:rsid w:val="0F135898"/>
    <w:rsid w:val="0F3330FE"/>
    <w:rsid w:val="0FDF0D69"/>
    <w:rsid w:val="107B57BA"/>
    <w:rsid w:val="10E01064"/>
    <w:rsid w:val="112B08A2"/>
    <w:rsid w:val="11B60016"/>
    <w:rsid w:val="12081A72"/>
    <w:rsid w:val="12575356"/>
    <w:rsid w:val="130B7EEE"/>
    <w:rsid w:val="132004B7"/>
    <w:rsid w:val="139F17C2"/>
    <w:rsid w:val="140C50F1"/>
    <w:rsid w:val="14A7532A"/>
    <w:rsid w:val="151A3F56"/>
    <w:rsid w:val="152E3299"/>
    <w:rsid w:val="15995D8D"/>
    <w:rsid w:val="16B20DAC"/>
    <w:rsid w:val="16F413C5"/>
    <w:rsid w:val="170E52FE"/>
    <w:rsid w:val="17967BF3"/>
    <w:rsid w:val="17C2636B"/>
    <w:rsid w:val="18025D64"/>
    <w:rsid w:val="18B904BA"/>
    <w:rsid w:val="18DF1F83"/>
    <w:rsid w:val="18E96032"/>
    <w:rsid w:val="19164715"/>
    <w:rsid w:val="19BD21D6"/>
    <w:rsid w:val="19C213AC"/>
    <w:rsid w:val="1B8C2C7D"/>
    <w:rsid w:val="1BFC0486"/>
    <w:rsid w:val="1C0B6445"/>
    <w:rsid w:val="1C330BE1"/>
    <w:rsid w:val="1C43143D"/>
    <w:rsid w:val="1D34223E"/>
    <w:rsid w:val="1DA5704F"/>
    <w:rsid w:val="1F3543D1"/>
    <w:rsid w:val="1F4A5D44"/>
    <w:rsid w:val="1FA85442"/>
    <w:rsid w:val="201C7BDE"/>
    <w:rsid w:val="204E28A5"/>
    <w:rsid w:val="21233ED6"/>
    <w:rsid w:val="216E4827"/>
    <w:rsid w:val="22CD70D7"/>
    <w:rsid w:val="22EE13BE"/>
    <w:rsid w:val="23615928"/>
    <w:rsid w:val="23BA6B2D"/>
    <w:rsid w:val="23C72304"/>
    <w:rsid w:val="24750609"/>
    <w:rsid w:val="24AA3E9F"/>
    <w:rsid w:val="254479BB"/>
    <w:rsid w:val="25C35512"/>
    <w:rsid w:val="260B2287"/>
    <w:rsid w:val="26AD1590"/>
    <w:rsid w:val="26C81735"/>
    <w:rsid w:val="270F224B"/>
    <w:rsid w:val="27897907"/>
    <w:rsid w:val="27E549C9"/>
    <w:rsid w:val="2834568E"/>
    <w:rsid w:val="28DC114A"/>
    <w:rsid w:val="2A3B0766"/>
    <w:rsid w:val="2A64640A"/>
    <w:rsid w:val="2A8275BB"/>
    <w:rsid w:val="2C7645CC"/>
    <w:rsid w:val="2C923581"/>
    <w:rsid w:val="2C9810A7"/>
    <w:rsid w:val="2CD77367"/>
    <w:rsid w:val="2D281971"/>
    <w:rsid w:val="2D3376D8"/>
    <w:rsid w:val="2D856A4E"/>
    <w:rsid w:val="2DDD09AD"/>
    <w:rsid w:val="2DFE040F"/>
    <w:rsid w:val="2E641A7D"/>
    <w:rsid w:val="2EDC05D9"/>
    <w:rsid w:val="2FCB3E32"/>
    <w:rsid w:val="2FCF4325"/>
    <w:rsid w:val="3017022E"/>
    <w:rsid w:val="30C412B9"/>
    <w:rsid w:val="31010E56"/>
    <w:rsid w:val="31B02E36"/>
    <w:rsid w:val="31BB6D9E"/>
    <w:rsid w:val="31D71BB7"/>
    <w:rsid w:val="32146851"/>
    <w:rsid w:val="33E24718"/>
    <w:rsid w:val="345B087E"/>
    <w:rsid w:val="35417DD8"/>
    <w:rsid w:val="368220F2"/>
    <w:rsid w:val="36BE0824"/>
    <w:rsid w:val="37054AD1"/>
    <w:rsid w:val="376163AC"/>
    <w:rsid w:val="38974E08"/>
    <w:rsid w:val="38BC0735"/>
    <w:rsid w:val="39731D27"/>
    <w:rsid w:val="399C32F4"/>
    <w:rsid w:val="39A700C1"/>
    <w:rsid w:val="3A654204"/>
    <w:rsid w:val="3A775222"/>
    <w:rsid w:val="3AAF36D1"/>
    <w:rsid w:val="3B0D21A6"/>
    <w:rsid w:val="3B845C93"/>
    <w:rsid w:val="3C2B4FD9"/>
    <w:rsid w:val="3D6D35B3"/>
    <w:rsid w:val="3D7E4565"/>
    <w:rsid w:val="3E3D0FF4"/>
    <w:rsid w:val="3F482AC9"/>
    <w:rsid w:val="3FF676AC"/>
    <w:rsid w:val="408B4C14"/>
    <w:rsid w:val="413A36FE"/>
    <w:rsid w:val="41650F8E"/>
    <w:rsid w:val="41882FC6"/>
    <w:rsid w:val="41D00D84"/>
    <w:rsid w:val="42435874"/>
    <w:rsid w:val="42E36970"/>
    <w:rsid w:val="432E636C"/>
    <w:rsid w:val="438020AF"/>
    <w:rsid w:val="43BE6FC3"/>
    <w:rsid w:val="441D78FE"/>
    <w:rsid w:val="45680119"/>
    <w:rsid w:val="458F1D63"/>
    <w:rsid w:val="465B64BB"/>
    <w:rsid w:val="47FE35A2"/>
    <w:rsid w:val="48166B3E"/>
    <w:rsid w:val="484418FD"/>
    <w:rsid w:val="49811327"/>
    <w:rsid w:val="49E41B54"/>
    <w:rsid w:val="49EF7646"/>
    <w:rsid w:val="4A3B5AC1"/>
    <w:rsid w:val="4A3B6D2F"/>
    <w:rsid w:val="4A9A7119"/>
    <w:rsid w:val="4B3C2D5F"/>
    <w:rsid w:val="4B5E0F27"/>
    <w:rsid w:val="4B895879"/>
    <w:rsid w:val="4BCD7E5B"/>
    <w:rsid w:val="4C43011D"/>
    <w:rsid w:val="4C561BFF"/>
    <w:rsid w:val="4C8670D9"/>
    <w:rsid w:val="4CC94487"/>
    <w:rsid w:val="4E372CEF"/>
    <w:rsid w:val="4E593C28"/>
    <w:rsid w:val="4EAC01FC"/>
    <w:rsid w:val="4F2E6E63"/>
    <w:rsid w:val="4F7D3946"/>
    <w:rsid w:val="50633C92"/>
    <w:rsid w:val="506F7733"/>
    <w:rsid w:val="511A58F1"/>
    <w:rsid w:val="513A6CF7"/>
    <w:rsid w:val="534704F3"/>
    <w:rsid w:val="534E7AD3"/>
    <w:rsid w:val="536B75FD"/>
    <w:rsid w:val="5371731E"/>
    <w:rsid w:val="53A45945"/>
    <w:rsid w:val="53E126F6"/>
    <w:rsid w:val="54077C82"/>
    <w:rsid w:val="54104D89"/>
    <w:rsid w:val="541B7F5F"/>
    <w:rsid w:val="54596730"/>
    <w:rsid w:val="546E1AAF"/>
    <w:rsid w:val="550667B5"/>
    <w:rsid w:val="551F0656"/>
    <w:rsid w:val="556829A3"/>
    <w:rsid w:val="55EB160A"/>
    <w:rsid w:val="56CA600D"/>
    <w:rsid w:val="56EB24D4"/>
    <w:rsid w:val="575D034E"/>
    <w:rsid w:val="581806B0"/>
    <w:rsid w:val="59886344"/>
    <w:rsid w:val="59E35ED0"/>
    <w:rsid w:val="5A6A5DFC"/>
    <w:rsid w:val="5A9F29C3"/>
    <w:rsid w:val="5AB52C6E"/>
    <w:rsid w:val="5AC12FC4"/>
    <w:rsid w:val="5ADD173D"/>
    <w:rsid w:val="5B152C85"/>
    <w:rsid w:val="5B4B66A7"/>
    <w:rsid w:val="5CB5471F"/>
    <w:rsid w:val="5DDD2180"/>
    <w:rsid w:val="5EAD73F2"/>
    <w:rsid w:val="5F1C2834"/>
    <w:rsid w:val="604E1113"/>
    <w:rsid w:val="605040C4"/>
    <w:rsid w:val="60791F08"/>
    <w:rsid w:val="61176028"/>
    <w:rsid w:val="61BD035E"/>
    <w:rsid w:val="61E635CD"/>
    <w:rsid w:val="6201607B"/>
    <w:rsid w:val="62257C51"/>
    <w:rsid w:val="627E196C"/>
    <w:rsid w:val="633839B4"/>
    <w:rsid w:val="645F6C1C"/>
    <w:rsid w:val="64680FC0"/>
    <w:rsid w:val="648844C8"/>
    <w:rsid w:val="64A45831"/>
    <w:rsid w:val="64E21E2A"/>
    <w:rsid w:val="652F7039"/>
    <w:rsid w:val="655A2308"/>
    <w:rsid w:val="656F7435"/>
    <w:rsid w:val="65705687"/>
    <w:rsid w:val="6593581A"/>
    <w:rsid w:val="65F77B57"/>
    <w:rsid w:val="66157FDD"/>
    <w:rsid w:val="6692787F"/>
    <w:rsid w:val="66B15D46"/>
    <w:rsid w:val="66B659E8"/>
    <w:rsid w:val="66DE4873"/>
    <w:rsid w:val="66E42BA0"/>
    <w:rsid w:val="66F978FF"/>
    <w:rsid w:val="670A5668"/>
    <w:rsid w:val="67386679"/>
    <w:rsid w:val="673B3A73"/>
    <w:rsid w:val="67D30A5C"/>
    <w:rsid w:val="6802739F"/>
    <w:rsid w:val="68975621"/>
    <w:rsid w:val="6A016C65"/>
    <w:rsid w:val="6A8617A8"/>
    <w:rsid w:val="6B7E7E55"/>
    <w:rsid w:val="6BE446D9"/>
    <w:rsid w:val="6BEA3CBA"/>
    <w:rsid w:val="6C4D6722"/>
    <w:rsid w:val="6D21161F"/>
    <w:rsid w:val="6DA947E3"/>
    <w:rsid w:val="6DB12CE1"/>
    <w:rsid w:val="6DF42BCE"/>
    <w:rsid w:val="6E005A16"/>
    <w:rsid w:val="6F525DFE"/>
    <w:rsid w:val="6F5C0A2B"/>
    <w:rsid w:val="6FA32AFD"/>
    <w:rsid w:val="6FE73A98"/>
    <w:rsid w:val="709D12FB"/>
    <w:rsid w:val="71014692"/>
    <w:rsid w:val="71FF3B8D"/>
    <w:rsid w:val="7224721F"/>
    <w:rsid w:val="73467A28"/>
    <w:rsid w:val="73644352"/>
    <w:rsid w:val="743D707D"/>
    <w:rsid w:val="746565D3"/>
    <w:rsid w:val="756B5E6B"/>
    <w:rsid w:val="75CF63FA"/>
    <w:rsid w:val="75ED6880"/>
    <w:rsid w:val="76A72ED3"/>
    <w:rsid w:val="7738674E"/>
    <w:rsid w:val="77A920A0"/>
    <w:rsid w:val="77A94A29"/>
    <w:rsid w:val="77BA6C36"/>
    <w:rsid w:val="77C67389"/>
    <w:rsid w:val="77D74469"/>
    <w:rsid w:val="783E7FCF"/>
    <w:rsid w:val="798C57CF"/>
    <w:rsid w:val="7A2B5BC9"/>
    <w:rsid w:val="7A2D430B"/>
    <w:rsid w:val="7A465F7C"/>
    <w:rsid w:val="7D494BA7"/>
    <w:rsid w:val="7DB46C45"/>
    <w:rsid w:val="7E012F1F"/>
    <w:rsid w:val="7E063173"/>
    <w:rsid w:val="7E6D4A02"/>
    <w:rsid w:val="7F182BC0"/>
    <w:rsid w:val="7F231565"/>
    <w:rsid w:val="7F250E39"/>
    <w:rsid w:val="7F2826D7"/>
    <w:rsid w:val="7F3E014D"/>
    <w:rsid w:val="7FCF551E"/>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40" w:lineRule="exact"/>
      <w:ind w:firstLine="0" w:firstLineChars="0"/>
      <w:jc w:val="left"/>
    </w:pPr>
    <w:rPr>
      <w:rFonts w:ascii="仿宋" w:hAnsi="仿宋" w:eastAsia="宋体" w:cs="Times New Roman"/>
      <w:kern w:val="0"/>
      <w:sz w:val="22"/>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kern w:val="0"/>
      <w:sz w:val="24"/>
      <w:lang w:val="en-US" w:eastAsia="zh-CN" w:bidi="ar"/>
    </w:rPr>
  </w:style>
  <w:style w:type="character" w:styleId="6">
    <w:name w:val="Strong"/>
    <w:basedOn w:val="5"/>
    <w:autoRedefine/>
    <w:qFormat/>
    <w:uiPriority w:val="0"/>
    <w:rPr>
      <w:b/>
      <w:bCs/>
    </w:rPr>
  </w:style>
  <w:style w:type="character" w:styleId="7">
    <w:name w:val="FollowedHyperlink"/>
    <w:basedOn w:val="5"/>
    <w:autoRedefine/>
    <w:qFormat/>
    <w:uiPriority w:val="0"/>
    <w:rPr>
      <w:color w:val="333333"/>
      <w:u w:val="none"/>
    </w:rPr>
  </w:style>
  <w:style w:type="character" w:styleId="8">
    <w:name w:val="Emphasis"/>
    <w:basedOn w:val="5"/>
    <w:autoRedefine/>
    <w:qFormat/>
    <w:uiPriority w:val="0"/>
  </w:style>
  <w:style w:type="character" w:styleId="9">
    <w:name w:val="Hyperlink"/>
    <w:basedOn w:val="5"/>
    <w:autoRedefine/>
    <w:qFormat/>
    <w:uiPriority w:val="0"/>
    <w:rPr>
      <w:color w:val="333333"/>
      <w:u w:val="none"/>
    </w:rPr>
  </w:style>
  <w:style w:type="character" w:styleId="10">
    <w:name w:val="HTML Code"/>
    <w:basedOn w:val="5"/>
    <w:autoRedefine/>
    <w:qFormat/>
    <w:uiPriority w:val="0"/>
    <w:rPr>
      <w:rFonts w:ascii="Consolas" w:hAnsi="Consolas" w:eastAsia="Consolas" w:cs="Consolas"/>
      <w:color w:val="E83E8C"/>
      <w:sz w:val="21"/>
      <w:szCs w:val="21"/>
    </w:rPr>
  </w:style>
  <w:style w:type="character" w:styleId="11">
    <w:name w:val="HTML Keyboard"/>
    <w:basedOn w:val="5"/>
    <w:autoRedefine/>
    <w:qFormat/>
    <w:uiPriority w:val="0"/>
    <w:rPr>
      <w:rFonts w:hint="default" w:ascii="Consolas" w:hAnsi="Consolas" w:eastAsia="Consolas" w:cs="Consolas"/>
      <w:color w:val="FFFFFF"/>
      <w:sz w:val="21"/>
      <w:szCs w:val="21"/>
      <w:shd w:val="clear" w:fill="212529"/>
    </w:rPr>
  </w:style>
  <w:style w:type="character" w:styleId="12">
    <w:name w:val="HTML Sample"/>
    <w:basedOn w:val="5"/>
    <w:autoRedefine/>
    <w:qFormat/>
    <w:uiPriority w:val="0"/>
    <w:rPr>
      <w:rFonts w:hint="default" w:ascii="Consolas" w:hAnsi="Consolas" w:eastAsia="Consolas" w:cs="Consolas"/>
      <w:sz w:val="21"/>
      <w:szCs w:val="21"/>
    </w:rPr>
  </w:style>
  <w:style w:type="paragraph" w:customStyle="1" w:styleId="13">
    <w:name w:val="列出段落1"/>
    <w:basedOn w:val="1"/>
    <w:autoRedefine/>
    <w:qFormat/>
    <w:uiPriority w:val="34"/>
    <w:pPr>
      <w:ind w:firstLine="420" w:firstLineChars="200"/>
    </w:pPr>
  </w:style>
  <w:style w:type="paragraph" w:styleId="14">
    <w:name w:val="List Paragraph"/>
    <w:basedOn w:val="1"/>
    <w:autoRedefine/>
    <w:qFormat/>
    <w:uiPriority w:val="99"/>
    <w:pPr>
      <w:ind w:firstLine="420" w:firstLineChars="200"/>
    </w:pPr>
    <w:rPr>
      <w:rFonts w:ascii="Calibri" w:hAnsi="Calibri"/>
      <w:szCs w:val="22"/>
    </w:rPr>
  </w:style>
  <w:style w:type="character" w:customStyle="1" w:styleId="15">
    <w:name w:val="share"/>
    <w:basedOn w:val="5"/>
    <w:autoRedefine/>
    <w:qFormat/>
    <w:uiPriority w:val="0"/>
  </w:style>
  <w:style w:type="character" w:customStyle="1" w:styleId="16">
    <w:name w:val="jxz"/>
    <w:basedOn w:val="5"/>
    <w:autoRedefine/>
    <w:qFormat/>
    <w:uiPriority w:val="0"/>
    <w:rPr>
      <w:shd w:val="clear" w:fill="71A0D3"/>
    </w:rPr>
  </w:style>
  <w:style w:type="character" w:customStyle="1" w:styleId="17">
    <w:name w:val="wx-space"/>
    <w:basedOn w:val="5"/>
    <w:autoRedefine/>
    <w:qFormat/>
    <w:uiPriority w:val="0"/>
  </w:style>
  <w:style w:type="character" w:customStyle="1" w:styleId="18">
    <w:name w:val="wx-space1"/>
    <w:basedOn w:val="5"/>
    <w:autoRedefine/>
    <w:qFormat/>
    <w:uiPriority w:val="0"/>
    <w:rPr>
      <w:vanish/>
      <w:sz w:val="15"/>
      <w:szCs w:val="15"/>
    </w:rPr>
  </w:style>
  <w:style w:type="character" w:customStyle="1" w:styleId="19">
    <w:name w:val="badge-pill2"/>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11016</Words>
  <Characters>11904</Characters>
  <Lines>0</Lines>
  <Paragraphs>0</Paragraphs>
  <TotalTime>11</TotalTime>
  <ScaleCrop>false</ScaleCrop>
  <LinksUpToDate>false</LinksUpToDate>
  <CharactersWithSpaces>12095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Gat</cp:lastModifiedBy>
  <dcterms:modified xsi:type="dcterms:W3CDTF">2024-06-28T03:30:00Z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6182D3A10D564617983F46DEE354AEAF</vt:lpwstr>
  </property>
</Properties>
</file>