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600" w:lineRule="exact"/>
        <w:jc w:val="both"/>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eastAsia="zh-CN"/>
        </w:rPr>
        <w:t>附件</w:t>
      </w:r>
      <w:r>
        <w:rPr>
          <w:rFonts w:hint="eastAsia" w:ascii="黑体" w:hAnsi="黑体" w:eastAsia="黑体" w:cs="黑体"/>
          <w:color w:val="auto"/>
          <w:sz w:val="32"/>
          <w:szCs w:val="32"/>
          <w:highlight w:val="none"/>
          <w:lang w:val="en-US" w:eastAsia="zh-CN"/>
        </w:rPr>
        <w:t>1</w:t>
      </w:r>
    </w:p>
    <w:p>
      <w:pPr>
        <w:spacing w:after="120" w:afterLines="50" w:line="600" w:lineRule="exact"/>
        <w:jc w:val="center"/>
        <w:rPr>
          <w:rFonts w:hint="eastAsia" w:ascii="方正小标宋简体" w:hAnsi="方正小标宋简体" w:eastAsia="方正小标宋简体" w:cs="方正小标宋简体"/>
          <w:color w:val="auto"/>
          <w:sz w:val="24"/>
          <w:highlight w:val="none"/>
        </w:rPr>
      </w:pPr>
      <w:r>
        <w:rPr>
          <w:rFonts w:hint="eastAsia" w:ascii="方正小标宋简体" w:hAnsi="方正小标宋简体" w:eastAsia="方正小标宋简体" w:cs="方正小标宋简体"/>
          <w:color w:val="auto"/>
          <w:sz w:val="36"/>
          <w:szCs w:val="36"/>
          <w:highlight w:val="none"/>
        </w:rPr>
        <w:t>202</w:t>
      </w:r>
      <w:r>
        <w:rPr>
          <w:rFonts w:hint="eastAsia" w:ascii="方正小标宋简体" w:hAnsi="方正小标宋简体" w:eastAsia="方正小标宋简体" w:cs="方正小标宋简体"/>
          <w:color w:val="auto"/>
          <w:sz w:val="36"/>
          <w:szCs w:val="36"/>
          <w:highlight w:val="none"/>
          <w:lang w:val="en-US" w:eastAsia="zh-CN"/>
        </w:rPr>
        <w:t>3</w:t>
      </w:r>
      <w:r>
        <w:rPr>
          <w:rFonts w:hint="eastAsia" w:ascii="方正小标宋简体" w:hAnsi="方正小标宋简体" w:eastAsia="方正小标宋简体" w:cs="方正小标宋简体"/>
          <w:color w:val="auto"/>
          <w:sz w:val="36"/>
          <w:szCs w:val="36"/>
          <w:highlight w:val="none"/>
        </w:rPr>
        <w:t>年度部门整体支出绩效评价基础数据表</w:t>
      </w:r>
    </w:p>
    <w:tbl>
      <w:tblPr>
        <w:tblStyle w:val="7"/>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202</w:t>
            </w:r>
            <w:r>
              <w:rPr>
                <w:rFonts w:hint="eastAsia" w:ascii="仿宋_GB2312" w:hAnsi="仿宋_GB2312" w:eastAsia="仿宋_GB2312" w:cs="仿宋_GB2312"/>
                <w:b/>
                <w:bCs/>
                <w:color w:val="auto"/>
                <w:sz w:val="20"/>
                <w:szCs w:val="20"/>
                <w:highlight w:val="none"/>
                <w:lang w:val="en-US" w:eastAsia="zh-CN"/>
              </w:rPr>
              <w:t>3</w:t>
            </w:r>
            <w:r>
              <w:rPr>
                <w:rFonts w:hint="eastAsia" w:ascii="仿宋_GB2312" w:hAnsi="仿宋_GB2312" w:eastAsia="仿宋_GB2312" w:cs="仿宋_GB2312"/>
                <w:b/>
                <w:bCs/>
                <w:color w:val="auto"/>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60</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40</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66.67%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202</w:t>
            </w:r>
            <w:r>
              <w:rPr>
                <w:rFonts w:hint="eastAsia" w:ascii="仿宋_GB2312" w:hAnsi="仿宋_GB2312" w:eastAsia="仿宋_GB2312" w:cs="仿宋_GB2312"/>
                <w:b/>
                <w:bCs/>
                <w:color w:val="auto"/>
                <w:sz w:val="20"/>
                <w:szCs w:val="20"/>
                <w:highlight w:val="none"/>
                <w:lang w:val="en-US" w:eastAsia="zh-CN"/>
              </w:rPr>
              <w:t>2</w:t>
            </w:r>
            <w:r>
              <w:rPr>
                <w:rFonts w:hint="eastAsia" w:ascii="仿宋_GB2312" w:hAnsi="仿宋_GB2312" w:eastAsia="仿宋_GB2312" w:cs="仿宋_GB2312"/>
                <w:b/>
                <w:bCs/>
                <w:color w:val="auto"/>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202</w:t>
            </w:r>
            <w:r>
              <w:rPr>
                <w:rFonts w:hint="eastAsia" w:ascii="仿宋_GB2312" w:hAnsi="仿宋_GB2312" w:eastAsia="仿宋_GB2312" w:cs="仿宋_GB2312"/>
                <w:b/>
                <w:bCs/>
                <w:color w:val="auto"/>
                <w:sz w:val="20"/>
                <w:szCs w:val="20"/>
                <w:highlight w:val="none"/>
                <w:lang w:val="en-US" w:eastAsia="zh-CN"/>
              </w:rPr>
              <w:t>3</w:t>
            </w:r>
            <w:r>
              <w:rPr>
                <w:rFonts w:hint="eastAsia" w:ascii="仿宋_GB2312" w:hAnsi="仿宋_GB2312" w:eastAsia="仿宋_GB2312" w:cs="仿宋_GB2312"/>
                <w:b/>
                <w:bCs/>
                <w:color w:val="auto"/>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202</w:t>
            </w:r>
            <w:r>
              <w:rPr>
                <w:rFonts w:hint="eastAsia" w:ascii="仿宋_GB2312" w:hAnsi="仿宋_GB2312" w:eastAsia="仿宋_GB2312" w:cs="仿宋_GB2312"/>
                <w:b/>
                <w:bCs/>
                <w:color w:val="auto"/>
                <w:sz w:val="20"/>
                <w:szCs w:val="20"/>
                <w:highlight w:val="none"/>
                <w:lang w:val="en-US" w:eastAsia="zh-CN"/>
              </w:rPr>
              <w:t>3</w:t>
            </w:r>
            <w:r>
              <w:rPr>
                <w:rFonts w:hint="eastAsia" w:ascii="仿宋_GB2312" w:hAnsi="仿宋_GB2312" w:eastAsia="仿宋_GB2312" w:cs="仿宋_GB2312"/>
                <w:b/>
                <w:bCs/>
                <w:color w:val="auto"/>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8.54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29.64</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26.98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17.98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6.2</w:t>
            </w:r>
            <w:r>
              <w:rPr>
                <w:rFonts w:hint="eastAsia" w:ascii="仿宋_GB2312" w:hAnsi="仿宋_GB2312" w:eastAsia="仿宋_GB2312" w:cs="仿宋_GB2312"/>
                <w:color w:val="auto"/>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9.00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2.34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2.66</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1143.82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18.80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533.9</w:t>
            </w:r>
            <w:r>
              <w:rPr>
                <w:rFonts w:hint="eastAsia" w:ascii="仿宋_GB2312" w:hAnsi="仿宋_GB2312" w:eastAsia="仿宋_GB2312" w:cs="仿宋_GB2312"/>
                <w:color w:val="auto"/>
                <w:sz w:val="20"/>
                <w:szCs w:val="20"/>
                <w:highlight w:val="none"/>
                <w:lang w:val="en-US" w:eastAsia="zh-CN"/>
              </w:rPr>
              <w:t>1</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等线" w:eastAsia="仿宋_GB2312" w:cs="仿宋_GB2312"/>
                <w:i w:val="0"/>
                <w:iCs w:val="0"/>
                <w:color w:val="000000"/>
                <w:kern w:val="0"/>
                <w:sz w:val="20"/>
                <w:szCs w:val="20"/>
                <w:u w:val="none"/>
                <w:lang w:val="en-US" w:eastAsia="zh-CN" w:bidi="ar-SA"/>
              </w:rPr>
            </w:pPr>
            <w:r>
              <w:rPr>
                <w:rFonts w:hint="eastAsia" w:ascii="仿宋_GB2312" w:hAnsi="等线" w:eastAsia="仿宋_GB2312" w:cs="仿宋_GB2312"/>
                <w:i w:val="0"/>
                <w:iCs w:val="0"/>
                <w:color w:val="000000"/>
                <w:kern w:val="0"/>
                <w:sz w:val="20"/>
                <w:szCs w:val="20"/>
                <w:u w:val="none"/>
                <w:lang w:val="en-US" w:eastAsia="zh-CN" w:bidi="ar"/>
              </w:rPr>
              <w:t>916.82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331.43</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 xml:space="preserve">    2、</w:t>
            </w:r>
            <w:r>
              <w:rPr>
                <w:rFonts w:hint="eastAsia" w:ascii="仿宋_GB2312" w:hAnsi="仿宋_GB2312" w:eastAsia="仿宋_GB2312" w:cs="仿宋_GB2312"/>
                <w:color w:val="auto"/>
                <w:sz w:val="20"/>
                <w:szCs w:val="20"/>
                <w:highlight w:val="none"/>
                <w:lang w:eastAsia="zh-CN"/>
              </w:rPr>
              <w:t>办案费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28.70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2.50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6.49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lang w:eastAsia="zh-CN"/>
              </w:rPr>
              <w:t>市级</w:t>
            </w:r>
            <w:r>
              <w:rPr>
                <w:rFonts w:hint="eastAsia" w:ascii="仿宋_GB2312" w:hAnsi="仿宋_GB2312" w:eastAsia="仿宋_GB2312" w:cs="仿宋_GB2312"/>
                <w:color w:val="auto"/>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198.30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16.30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195.99</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rPr>
              <w:t>农业综合执法及禁捕退捕专项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182.00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179.69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rPr>
              <w:t xml:space="preserve">  </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rPr>
              <w:t>农业行政执法与农民负担监管</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6.30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w:t>
            </w:r>
            <w:bookmarkStart w:id="0" w:name="_GoBack"/>
            <w:bookmarkEnd w:id="0"/>
            <w:r>
              <w:rPr>
                <w:rFonts w:hint="eastAsia" w:ascii="仿宋_GB2312" w:hAnsi="仿宋_GB2312" w:eastAsia="仿宋_GB2312" w:cs="仿宋_GB2312"/>
                <w:color w:val="auto"/>
                <w:sz w:val="20"/>
                <w:szCs w:val="20"/>
                <w:highlight w:val="none"/>
                <w:lang w:val="en-US" w:eastAsia="zh-CN"/>
              </w:rPr>
              <w:t>.00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auto"/>
                <w:kern w:val="0"/>
                <w:sz w:val="22"/>
                <w:szCs w:val="22"/>
                <w:u w:val="none"/>
                <w:lang w:val="en-US" w:eastAsia="zh-CN" w:bidi="ar-SA"/>
              </w:rPr>
            </w:pPr>
            <w:r>
              <w:rPr>
                <w:rFonts w:hint="eastAsia" w:ascii="仿宋_GB2312" w:hAnsi="仿宋_GB2312" w:eastAsia="仿宋_GB2312" w:cs="仿宋_GB2312"/>
                <w:color w:val="auto"/>
                <w:sz w:val="20"/>
                <w:szCs w:val="20"/>
                <w:highlight w:val="none"/>
                <w:lang w:val="en-US" w:eastAsia="zh-CN"/>
              </w:rPr>
              <w:t>水产品质量安全监管</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6.30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6.30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lang w:val="en-US" w:eastAsia="zh-CN"/>
              </w:rPr>
              <w:t>38.88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78.37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69.2</w:t>
            </w:r>
            <w:r>
              <w:rPr>
                <w:rFonts w:hint="eastAsia" w:ascii="仿宋_GB2312" w:hAnsi="仿宋_GB2312" w:eastAsia="仿宋_GB2312" w:cs="仿宋_GB2312"/>
                <w:color w:val="auto"/>
                <w:sz w:val="20"/>
                <w:szCs w:val="20"/>
                <w:highlight w:val="none"/>
                <w:lang w:val="en-US" w:eastAsia="zh-CN"/>
              </w:rPr>
              <w:t>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lang w:val="en-US" w:eastAsia="zh-CN"/>
              </w:rPr>
              <w:t>8.36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59.91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52.3</w:t>
            </w:r>
            <w:r>
              <w:rPr>
                <w:rFonts w:hint="eastAsia" w:ascii="仿宋_GB2312" w:hAnsi="仿宋_GB2312" w:eastAsia="仿宋_GB2312" w:cs="仿宋_GB2312"/>
                <w:color w:val="auto"/>
                <w:sz w:val="20"/>
                <w:szCs w:val="20"/>
                <w:highlight w:val="none"/>
                <w:lang w:val="en-US" w:eastAsia="zh-CN"/>
              </w:rPr>
              <w:t>6</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1.60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1.64</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1.68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1.81</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677.8</w:t>
            </w:r>
            <w:r>
              <w:rPr>
                <w:rFonts w:hint="eastAsia" w:ascii="仿宋_GB2312" w:hAnsi="仿宋_GB2312" w:eastAsia="仿宋_GB2312" w:cs="仿宋_GB2312"/>
                <w:color w:val="auto"/>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315.05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313</w:t>
            </w:r>
            <w:r>
              <w:rPr>
                <w:rFonts w:hint="eastAsia" w:ascii="仿宋_GB2312" w:hAnsi="仿宋_GB2312" w:eastAsia="仿宋_GB2312" w:cs="仿宋_GB2312"/>
                <w:color w:val="auto"/>
                <w:sz w:val="20"/>
                <w:szCs w:val="20"/>
                <w:highlight w:val="none"/>
                <w:lang w:val="en-US" w:eastAsia="zh-CN"/>
              </w:rPr>
              <w:t>.00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742.70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839.98</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楼堂馆所控制情况</w:t>
            </w:r>
          </w:p>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（202</w:t>
            </w:r>
            <w:r>
              <w:rPr>
                <w:rFonts w:hint="eastAsia" w:ascii="仿宋_GB2312" w:hAnsi="仿宋_GB2312" w:eastAsia="仿宋_GB2312" w:cs="仿宋_GB2312"/>
                <w:color w:val="auto"/>
                <w:sz w:val="20"/>
                <w:szCs w:val="20"/>
                <w:highlight w:val="none"/>
                <w:lang w:val="en-US" w:eastAsia="zh-CN"/>
              </w:rPr>
              <w:t>3</w:t>
            </w:r>
            <w:r>
              <w:rPr>
                <w:rFonts w:hint="eastAsia" w:ascii="仿宋_GB2312" w:hAnsi="仿宋_GB2312" w:eastAsia="仿宋_GB2312" w:cs="仿宋_GB2312"/>
                <w:color w:val="auto"/>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color w:val="auto"/>
                <w:sz w:val="20"/>
                <w:szCs w:val="20"/>
                <w:highlight w:val="none"/>
                <w:lang w:eastAsia="zh-CN"/>
              </w:rPr>
            </w:pPr>
            <w:r>
              <w:rPr>
                <w:rFonts w:hint="eastAsia" w:ascii="仿宋_GB2312" w:hAnsi="仿宋_GB2312" w:eastAsia="仿宋_GB2312" w:cs="仿宋_GB2312"/>
                <w:bCs/>
                <w:color w:val="auto"/>
                <w:sz w:val="20"/>
                <w:szCs w:val="20"/>
                <w:highlight w:val="none"/>
              </w:rPr>
              <w:t>批复规模</w:t>
            </w:r>
          </w:p>
          <w:p>
            <w:pPr>
              <w:widowControl/>
              <w:spacing w:line="360" w:lineRule="exact"/>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color w:val="auto"/>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0</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0</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bl>
    <w:p>
      <w:pPr>
        <w:widowControl/>
        <w:spacing w:afterLines="0" w:line="400" w:lineRule="exact"/>
        <w:jc w:val="left"/>
        <w:rPr>
          <w:rFonts w:hint="default" w:ascii="Times New Roman" w:hAnsi="Times New Roman" w:eastAsia="仿宋_GB2312" w:cs="Times New Roman"/>
          <w:color w:val="auto"/>
          <w:sz w:val="22"/>
          <w:highlight w:val="none"/>
        </w:rPr>
      </w:pPr>
      <w:r>
        <w:rPr>
          <w:rFonts w:hint="default" w:ascii="Times New Roman" w:hAnsi="Times New Roman" w:eastAsia="仿宋_GB2312" w:cs="Times New Roman"/>
          <w:color w:val="auto"/>
          <w:sz w:val="22"/>
          <w:highlight w:val="none"/>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color w:val="auto"/>
          <w:sz w:val="22"/>
          <w:highlight w:val="none"/>
        </w:rPr>
      </w:pPr>
    </w:p>
    <w:p>
      <w:pPr>
        <w:widowControl/>
        <w:spacing w:after="0" w:afterLines="0" w:line="400" w:lineRule="exact"/>
        <w:jc w:val="left"/>
        <w:rPr>
          <w:rFonts w:hint="eastAsia" w:ascii="黑体" w:hAnsi="黑体" w:eastAsia="黑体" w:cs="黑体"/>
          <w:color w:val="auto"/>
          <w:sz w:val="32"/>
          <w:szCs w:val="32"/>
          <w:highlight w:val="none"/>
          <w:lang w:eastAsia="zh-CN"/>
        </w:rPr>
      </w:pPr>
      <w:r>
        <w:rPr>
          <w:rFonts w:hint="default" w:ascii="Times New Roman" w:hAnsi="Times New Roman" w:eastAsia="仿宋_GB2312" w:cs="Times New Roman"/>
          <w:color w:val="auto"/>
          <w:sz w:val="22"/>
          <w:highlight w:val="none"/>
        </w:rPr>
        <w:t>填表人：        填报日期：          联系电话：            单位负责人签字：</w:t>
      </w:r>
      <w:r>
        <w:rPr>
          <w:rFonts w:hint="default" w:ascii="Times New Roman" w:hAnsi="Times New Roman" w:eastAsia="仿宋_GB2312" w:cs="Times New Roman"/>
          <w:color w:val="auto"/>
          <w:sz w:val="22"/>
          <w:highlight w:val="none"/>
        </w:rPr>
        <w:br w:type="page"/>
      </w: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p>
      <w:pPr>
        <w:widowControl/>
        <w:spacing w:after="120" w:afterLines="50"/>
        <w:jc w:val="center"/>
        <w:rPr>
          <w:rFonts w:hint="eastAsia"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202</w:t>
      </w:r>
      <w:r>
        <w:rPr>
          <w:rFonts w:hint="eastAsia" w:ascii="方正小标宋简体" w:hAnsi="方正小标宋简体" w:eastAsia="方正小标宋简体" w:cs="方正小标宋简体"/>
          <w:color w:val="auto"/>
          <w:sz w:val="36"/>
          <w:szCs w:val="36"/>
          <w:highlight w:val="none"/>
          <w:lang w:val="en-US" w:eastAsia="zh-CN"/>
        </w:rPr>
        <w:t>3</w:t>
      </w:r>
      <w:r>
        <w:rPr>
          <w:rFonts w:hint="eastAsia" w:ascii="方正小标宋简体" w:hAnsi="方正小标宋简体" w:eastAsia="方正小标宋简体" w:cs="方正小标宋简体"/>
          <w:color w:val="auto"/>
          <w:sz w:val="36"/>
          <w:szCs w:val="36"/>
          <w:highlight w:val="none"/>
        </w:rPr>
        <w:t>年度部门整体支出绩效自评表</w:t>
      </w:r>
    </w:p>
    <w:tbl>
      <w:tblPr>
        <w:tblStyle w:val="7"/>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市</w:t>
            </w:r>
            <w:r>
              <w:rPr>
                <w:rFonts w:hint="eastAsia" w:ascii="仿宋_GB2312" w:hAnsi="仿宋_GB2312" w:eastAsia="仿宋_GB2312" w:cs="仿宋_GB2312"/>
                <w:color w:val="auto"/>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年度预</w:t>
            </w:r>
          </w:p>
          <w:p>
            <w:pPr>
              <w:widowControl/>
              <w:spacing w:line="240" w:lineRule="exact"/>
              <w:jc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算申请</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761.51</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1373.89</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1373.89</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其中：  一般公共预算：1373.89</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其中：基本支出：839.98</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项目支出：533.9</w:t>
            </w:r>
            <w:r>
              <w:rPr>
                <w:rFonts w:hint="eastAsia" w:ascii="仿宋_GB2312" w:hAnsi="仿宋_GB2312" w:eastAsia="仿宋_GB2312" w:cs="仿宋_GB2312"/>
                <w:color w:val="auto"/>
                <w:sz w:val="20"/>
                <w:szCs w:val="20"/>
                <w:highlight w:val="none"/>
                <w:lang w:val="en-US" w:eastAsia="zh-CN"/>
              </w:rPr>
              <w:t>1</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其他资金：</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实际完成情况</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rPr>
              <w:t>1</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全面贯彻党的“二十大”报告精神，“落实好长江十年禁渔”，继续深入组织开展枯水期“十年禁渔”集中整治行动，守住禁捕秩序监管底线；</w:t>
            </w:r>
          </w:p>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rPr>
              <w:t>2</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开展农业投入品执法检查，查处和打击生产、经营假冒伪劣农资违法行为，保护农民合法权益；</w:t>
            </w:r>
          </w:p>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rPr>
              <w:t>3</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以新农产品质量安全法实施为契机，严格农产品质量安全执法监管，积极参加部、省、市农产品质量安全监督抽检，依法查处和打击农产品质量安全违法及中心城区生猪私屠滥宰等行为；</w:t>
            </w:r>
          </w:p>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rPr>
              <w:t>4</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持续开展农机安全生产专项整治；</w:t>
            </w:r>
          </w:p>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rPr>
              <w:t>5</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组织开展农业综合执法培训，提升执法人员水平</w:t>
            </w:r>
            <w:r>
              <w:rPr>
                <w:rFonts w:hint="eastAsia" w:ascii="仿宋_GB2312" w:hAnsi="仿宋_GB2312" w:eastAsia="仿宋_GB2312" w:cs="仿宋_GB2312"/>
                <w:color w:val="auto"/>
                <w:sz w:val="20"/>
                <w:szCs w:val="20"/>
                <w:highlight w:val="none"/>
                <w:lang w:eastAsia="zh-CN"/>
              </w:rPr>
              <w:t>。</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numPr>
                <w:ilvl w:val="0"/>
                <w:numId w:val="0"/>
              </w:numPr>
              <w:spacing w:line="240" w:lineRule="exact"/>
              <w:jc w:val="left"/>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kern w:val="0"/>
                <w:sz w:val="20"/>
                <w:szCs w:val="20"/>
                <w:lang w:val="en-US" w:eastAsia="zh-CN" w:bidi="ar-SA"/>
              </w:rPr>
              <w:t>1、</w:t>
            </w:r>
            <w:r>
              <w:rPr>
                <w:rFonts w:hint="eastAsia" w:ascii="仿宋_GB2312" w:hAnsi="仿宋_GB2312" w:eastAsia="仿宋_GB2312" w:cs="仿宋_GB2312"/>
                <w:color w:val="auto"/>
                <w:sz w:val="20"/>
                <w:szCs w:val="20"/>
                <w:highlight w:val="none"/>
                <w:lang w:val="en-US" w:eastAsia="zh-CN"/>
              </w:rPr>
              <w:t>强力推进“十年禁渔”执法监管。“十年禁渔”集中整治工作专班实行常态化运行，每周将执法开展情况、督查督办情况、典型经验做法形成工作简报；开展联合执法，重点对非法捕捞、违规垂钓等违法违规行为开展集中整治；充分发挥智慧渔政作用，以信息手段赋能严厉打击各类非法捕捞和违规垂钓行为，巩固我市“四清四无”禁捕成效。</w:t>
            </w:r>
          </w:p>
          <w:p>
            <w:pPr>
              <w:widowControl/>
              <w:numPr>
                <w:ilvl w:val="0"/>
                <w:numId w:val="0"/>
              </w:numPr>
              <w:spacing w:line="240" w:lineRule="exact"/>
              <w:jc w:val="left"/>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lang w:val="en-US" w:eastAsia="zh-CN"/>
              </w:rPr>
              <w:t>2、深入开展农资打假暨“稳粮保供”专项行动。</w:t>
            </w:r>
            <w:r>
              <w:rPr>
                <w:rFonts w:hint="eastAsia" w:ascii="仿宋_GB2312" w:hAnsi="仿宋_GB2312" w:eastAsia="仿宋_GB2312" w:cs="仿宋_GB2312"/>
                <w:color w:val="auto"/>
                <w:sz w:val="20"/>
                <w:szCs w:val="20"/>
                <w:highlight w:val="none"/>
                <w:lang w:val="en-US" w:eastAsia="zh-CN"/>
              </w:rPr>
              <w:t>先是</w:t>
            </w:r>
            <w:r>
              <w:rPr>
                <w:rFonts w:hint="default" w:ascii="仿宋_GB2312" w:hAnsi="仿宋_GB2312" w:eastAsia="仿宋_GB2312" w:cs="仿宋_GB2312"/>
                <w:color w:val="auto"/>
                <w:sz w:val="20"/>
                <w:szCs w:val="20"/>
                <w:highlight w:val="none"/>
                <w:lang w:val="en-US" w:eastAsia="zh-CN"/>
              </w:rPr>
              <w:t>全年常态化开展农资打假</w:t>
            </w:r>
            <w:r>
              <w:rPr>
                <w:rFonts w:hint="eastAsia" w:ascii="仿宋_GB2312" w:hAnsi="仿宋_GB2312" w:eastAsia="仿宋_GB2312" w:cs="仿宋_GB2312"/>
                <w:color w:val="auto"/>
                <w:sz w:val="20"/>
                <w:szCs w:val="20"/>
                <w:highlight w:val="none"/>
                <w:lang w:val="en-US" w:eastAsia="zh-CN"/>
              </w:rPr>
              <w:t>，对农资经营门店开展了执法检查，就无证生产经营、销售假冒伪劣产品等违法行为进行重点查处，发现农资及农产品质量问题线索，全市协查，坚决追根溯源一查到底。</w:t>
            </w:r>
          </w:p>
          <w:p>
            <w:pPr>
              <w:widowControl/>
              <w:numPr>
                <w:ilvl w:val="0"/>
                <w:numId w:val="0"/>
              </w:numPr>
              <w:spacing w:line="240" w:lineRule="exact"/>
              <w:jc w:val="left"/>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lang w:val="en-US" w:eastAsia="zh-CN"/>
              </w:rPr>
              <w:t>3、</w:t>
            </w:r>
            <w:r>
              <w:rPr>
                <w:rFonts w:hint="eastAsia" w:ascii="仿宋_GB2312" w:hAnsi="仿宋_GB2312" w:eastAsia="仿宋_GB2312" w:cs="仿宋_GB2312"/>
                <w:color w:val="auto"/>
                <w:sz w:val="20"/>
                <w:szCs w:val="20"/>
                <w:highlight w:val="none"/>
                <w:lang w:val="en-US" w:eastAsia="zh-CN"/>
              </w:rPr>
              <w:t>扎实</w:t>
            </w:r>
            <w:r>
              <w:rPr>
                <w:rFonts w:hint="default" w:ascii="仿宋_GB2312" w:hAnsi="仿宋_GB2312" w:eastAsia="仿宋_GB2312" w:cs="仿宋_GB2312"/>
                <w:color w:val="auto"/>
                <w:sz w:val="20"/>
                <w:szCs w:val="20"/>
                <w:highlight w:val="none"/>
                <w:lang w:val="en-US" w:eastAsia="zh-CN"/>
              </w:rPr>
              <w:t>开展农产品质量安全执法行动</w:t>
            </w:r>
            <w:r>
              <w:rPr>
                <w:rFonts w:hint="eastAsia" w:ascii="仿宋_GB2312" w:hAnsi="仿宋_GB2312" w:eastAsia="仿宋_GB2312" w:cs="仿宋_GB2312"/>
                <w:color w:val="auto"/>
                <w:sz w:val="20"/>
                <w:szCs w:val="20"/>
                <w:highlight w:val="none"/>
                <w:lang w:val="en-US" w:eastAsia="zh-CN"/>
              </w:rPr>
              <w:t>。多次开展中心城区生猪屠宰和肉类经营环节违法行为联合执法行动，确保广大市民食用肉类产品安全。</w:t>
            </w:r>
          </w:p>
          <w:p>
            <w:pPr>
              <w:widowControl/>
              <w:numPr>
                <w:ilvl w:val="0"/>
                <w:numId w:val="0"/>
              </w:numPr>
              <w:spacing w:line="240" w:lineRule="exact"/>
              <w:jc w:val="left"/>
              <w:rPr>
                <w:rFonts w:hint="default"/>
                <w:color w:val="auto"/>
                <w:lang w:val="en-US" w:eastAsia="zh-CN"/>
              </w:rPr>
            </w:pPr>
            <w:r>
              <w:rPr>
                <w:rFonts w:hint="default" w:ascii="仿宋_GB2312" w:hAnsi="仿宋_GB2312" w:eastAsia="仿宋_GB2312" w:cs="仿宋_GB2312"/>
                <w:color w:val="auto"/>
                <w:sz w:val="20"/>
                <w:szCs w:val="20"/>
                <w:highlight w:val="none"/>
                <w:lang w:val="en-US" w:eastAsia="zh-CN"/>
              </w:rPr>
              <w:t>4、积极创新拓展执法工作</w:t>
            </w:r>
            <w:r>
              <w:rPr>
                <w:rFonts w:hint="eastAsia" w:ascii="仿宋_GB2312" w:hAnsi="仿宋_GB2312" w:eastAsia="仿宋_GB2312" w:cs="仿宋_GB2312"/>
                <w:color w:val="auto"/>
                <w:sz w:val="20"/>
                <w:szCs w:val="20"/>
                <w:highlight w:val="none"/>
                <w:lang w:val="en-US" w:eastAsia="zh-CN"/>
              </w:rPr>
              <w:t>，强化自身建设，努力提升执法人员素质。</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绩</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效</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标</w:t>
            </w:r>
          </w:p>
          <w:p>
            <w:pPr>
              <w:widowControl/>
              <w:spacing w:line="240" w:lineRule="exact"/>
              <w:jc w:val="center"/>
              <w:rPr>
                <w:rFonts w:hint="eastAsia" w:ascii="仿宋_GB2312" w:hAnsi="仿宋_GB2312" w:eastAsia="仿宋_GB2312" w:cs="仿宋_GB2312"/>
                <w:color w:val="auto"/>
                <w:sz w:val="20"/>
                <w:szCs w:val="20"/>
                <w:highlight w:val="none"/>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产出指标</w:t>
            </w:r>
          </w:p>
          <w:p>
            <w:pPr>
              <w:widowControl/>
              <w:spacing w:line="240" w:lineRule="exact"/>
              <w:jc w:val="center"/>
              <w:rPr>
                <w:rFonts w:hint="eastAsia" w:ascii="仿宋_GB2312" w:hAnsi="仿宋_GB2312" w:eastAsia="仿宋_GB2312" w:cs="仿宋_GB2312"/>
                <w:color w:val="auto"/>
                <w:sz w:val="20"/>
                <w:szCs w:val="20"/>
                <w:highlight w:val="none"/>
              </w:rPr>
            </w:pP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护航“三农”高质量发展</w:t>
            </w:r>
            <w:r>
              <w:rPr>
                <w:rFonts w:hint="eastAsia" w:ascii="仿宋_GB2312" w:hAnsi="仿宋_GB2312" w:eastAsia="仿宋_GB2312" w:cs="仿宋_GB2312"/>
                <w:color w:val="auto"/>
                <w:sz w:val="20"/>
                <w:szCs w:val="20"/>
                <w:highlight w:val="none"/>
                <w:lang w:val="en-US" w:eastAsia="zh-CN"/>
              </w:rPr>
              <w:t>罚没收入</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w:t>
            </w:r>
            <w:r>
              <w:rPr>
                <w:rFonts w:hint="eastAsia" w:ascii="仿宋_GB2312" w:hAnsi="仿宋_GB2312" w:eastAsia="仿宋_GB2312" w:cs="仿宋_GB2312"/>
                <w:color w:val="auto"/>
                <w:sz w:val="20"/>
                <w:szCs w:val="20"/>
                <w:highlight w:val="none"/>
              </w:rPr>
              <w:t>2</w:t>
            </w:r>
            <w:r>
              <w:rPr>
                <w:rFonts w:hint="eastAsia" w:ascii="仿宋_GB2312" w:hAnsi="仿宋_GB2312" w:eastAsia="仿宋_GB2312" w:cs="仿宋_GB2312"/>
                <w:color w:val="auto"/>
                <w:sz w:val="20"/>
                <w:szCs w:val="20"/>
                <w:highlight w:val="none"/>
                <w:lang w:val="en-US" w:eastAsia="zh-CN"/>
              </w:rPr>
              <w:t>5</w:t>
            </w:r>
            <w:r>
              <w:rPr>
                <w:rFonts w:hint="eastAsia" w:ascii="仿宋_GB2312" w:hAnsi="仿宋_GB2312" w:eastAsia="仿宋_GB2312" w:cs="仿宋_GB2312"/>
                <w:color w:val="auto"/>
                <w:sz w:val="20"/>
                <w:szCs w:val="20"/>
                <w:highlight w:val="none"/>
              </w:rPr>
              <w:t>万元</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51</w:t>
            </w:r>
            <w:r>
              <w:rPr>
                <w:rFonts w:hint="eastAsia" w:ascii="仿宋_GB2312" w:hAnsi="仿宋_GB2312" w:eastAsia="仿宋_GB2312" w:cs="仿宋_GB2312"/>
                <w:color w:val="auto"/>
                <w:sz w:val="20"/>
                <w:szCs w:val="20"/>
                <w:highlight w:val="none"/>
              </w:rPr>
              <w:t>万元</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全市查处违规垂钓案件</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3000余起</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3000余起</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立案结案率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r>
              <w:rPr>
                <w:rFonts w:hint="eastAsia" w:ascii="仿宋_GB2312" w:hAnsi="仿宋_GB2312" w:eastAsia="仿宋_GB2312" w:cs="仿宋_GB2312"/>
                <w:color w:val="auto"/>
                <w:sz w:val="20"/>
                <w:szCs w:val="20"/>
                <w:highlight w:val="none"/>
                <w:lang w:eastAsia="zh-CN"/>
              </w:rPr>
              <w:t>%</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投诉举报线索处置率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100</w:t>
            </w:r>
            <w:r>
              <w:rPr>
                <w:rFonts w:hint="eastAsia" w:ascii="仿宋_GB2312" w:hAnsi="仿宋_GB2312" w:eastAsia="仿宋_GB2312" w:cs="仿宋_GB2312"/>
                <w:color w:val="auto"/>
                <w:sz w:val="20"/>
                <w:szCs w:val="20"/>
                <w:highlight w:val="none"/>
                <w:lang w:eastAsia="zh-CN"/>
              </w:rPr>
              <w:t>%</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在规定时间内</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2023年度</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2023年度</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控制</w:t>
            </w:r>
            <w:r>
              <w:rPr>
                <w:rFonts w:hint="eastAsia" w:ascii="仿宋_GB2312" w:hAnsi="仿宋_GB2312" w:eastAsia="仿宋_GB2312" w:cs="仿宋_GB2312"/>
                <w:color w:val="auto"/>
                <w:sz w:val="20"/>
                <w:szCs w:val="20"/>
                <w:highlight w:val="none"/>
              </w:rPr>
              <w:t>在预算内</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rPr>
              <w:t>1373.89</w:t>
            </w:r>
            <w:r>
              <w:rPr>
                <w:rFonts w:hint="eastAsia" w:ascii="仿宋_GB2312" w:hAnsi="仿宋_GB2312" w:eastAsia="仿宋_GB2312" w:cs="仿宋_GB2312"/>
                <w:color w:val="auto"/>
                <w:sz w:val="20"/>
                <w:szCs w:val="20"/>
                <w:highlight w:val="none"/>
                <w:lang w:val="en-US" w:eastAsia="zh-CN"/>
              </w:rPr>
              <w:t>万元</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rPr>
              <w:t>1373.89</w:t>
            </w:r>
            <w:r>
              <w:rPr>
                <w:rFonts w:hint="eastAsia" w:ascii="仿宋_GB2312" w:hAnsi="仿宋_GB2312" w:eastAsia="仿宋_GB2312" w:cs="仿宋_GB2312"/>
                <w:color w:val="auto"/>
                <w:sz w:val="20"/>
                <w:szCs w:val="20"/>
                <w:highlight w:val="none"/>
                <w:lang w:val="en-US" w:eastAsia="zh-CN"/>
              </w:rPr>
              <w:t>万元</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效益指标</w:t>
            </w:r>
          </w:p>
          <w:p>
            <w:pPr>
              <w:widowControl/>
              <w:spacing w:line="240" w:lineRule="exact"/>
              <w:jc w:val="left"/>
              <w:rPr>
                <w:rFonts w:hint="eastAsia" w:ascii="仿宋_GB2312" w:hAnsi="仿宋_GB2312" w:eastAsia="仿宋_GB2312" w:cs="仿宋_GB2312"/>
                <w:color w:val="auto"/>
                <w:sz w:val="20"/>
                <w:szCs w:val="20"/>
                <w:highlight w:val="none"/>
              </w:rPr>
            </w:pPr>
          </w:p>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（30分）</w:t>
            </w:r>
          </w:p>
          <w:p>
            <w:pPr>
              <w:widowControl/>
              <w:spacing w:line="240" w:lineRule="exact"/>
              <w:jc w:val="left"/>
              <w:rPr>
                <w:rFonts w:hint="eastAsia" w:ascii="仿宋_GB2312" w:hAnsi="仿宋_GB2312" w:eastAsia="仿宋_GB2312" w:cs="仿宋_GB2312"/>
                <w:color w:val="auto"/>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经济效</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协助挽回农民损失</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有所挽回</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有所挽回</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保护好长江洞庭湖水生生物资源及江豚等珍稀野生动物</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江豚等珍稀野生动物</w:t>
            </w:r>
            <w:r>
              <w:rPr>
                <w:rFonts w:hint="eastAsia" w:ascii="仿宋_GB2312" w:hAnsi="仿宋_GB2312" w:eastAsia="仿宋_GB2312" w:cs="仿宋_GB2312"/>
                <w:color w:val="auto"/>
                <w:sz w:val="20"/>
                <w:szCs w:val="20"/>
              </w:rPr>
              <w:t>数量稳定增长</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江豚等珍稀野生动物</w:t>
            </w:r>
            <w:r>
              <w:rPr>
                <w:rFonts w:hint="eastAsia" w:ascii="仿宋_GB2312" w:hAnsi="仿宋_GB2312" w:eastAsia="仿宋_GB2312" w:cs="仿宋_GB2312"/>
                <w:color w:val="auto"/>
                <w:sz w:val="20"/>
                <w:szCs w:val="20"/>
              </w:rPr>
              <w:t>数量稳定增长</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auto"/>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确保农产品质量安全</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保证产品合格率</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保证产品合格率</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生态效</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洞庭湖水生态环境得到修复</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稳步提升</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稳步提升</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城区销售农资产品合格率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显著提升</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显著提升</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维护禁捕秩序，营造长江大保护良好氛围</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良好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良好</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满意度</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指标</w:t>
            </w:r>
          </w:p>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服务对象满意度指标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监管</w:t>
            </w:r>
            <w:r>
              <w:rPr>
                <w:rFonts w:hint="eastAsia" w:ascii="仿宋_GB2312" w:hAnsi="仿宋_GB2312" w:eastAsia="仿宋_GB2312" w:cs="仿宋_GB2312"/>
                <w:color w:val="auto"/>
                <w:sz w:val="20"/>
                <w:szCs w:val="20"/>
                <w:highlight w:val="none"/>
                <w:lang w:eastAsia="zh-CN"/>
              </w:rPr>
              <w:t>对象满意度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≥95%</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9</w:t>
            </w:r>
            <w:r>
              <w:rPr>
                <w:rFonts w:hint="eastAsia" w:ascii="仿宋_GB2312" w:hAnsi="仿宋_GB2312" w:eastAsia="仿宋_GB2312" w:cs="仿宋_GB2312"/>
                <w:color w:val="auto"/>
                <w:sz w:val="20"/>
                <w:szCs w:val="20"/>
                <w:highlight w:val="none"/>
                <w:lang w:val="en-US" w:eastAsia="zh-CN"/>
              </w:rPr>
              <w:t>8</w:t>
            </w:r>
            <w:r>
              <w:rPr>
                <w:rFonts w:hint="eastAsia" w:ascii="仿宋_GB2312" w:hAnsi="仿宋_GB2312" w:eastAsia="仿宋_GB2312" w:cs="仿宋_GB2312"/>
                <w:color w:val="auto"/>
                <w:sz w:val="20"/>
                <w:szCs w:val="20"/>
                <w:highlight w:val="none"/>
                <w:lang w:eastAsia="zh-CN"/>
              </w:rPr>
              <w:t>%</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无偏差</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auto"/>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市民群众</w:t>
            </w:r>
            <w:r>
              <w:rPr>
                <w:rFonts w:hint="eastAsia" w:ascii="仿宋_GB2312" w:hAnsi="仿宋_GB2312" w:eastAsia="仿宋_GB2312" w:cs="仿宋_GB2312"/>
                <w:color w:val="auto"/>
                <w:sz w:val="20"/>
                <w:szCs w:val="20"/>
                <w:highlight w:val="none"/>
              </w:rPr>
              <w:t>满意度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≥95%</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w:t>
            </w:r>
            <w:r>
              <w:rPr>
                <w:rFonts w:hint="eastAsia" w:ascii="仿宋_GB2312" w:hAnsi="仿宋_GB2312" w:eastAsia="仿宋_GB2312" w:cs="仿宋_GB2312"/>
                <w:color w:val="auto"/>
                <w:sz w:val="20"/>
                <w:szCs w:val="20"/>
                <w:highlight w:val="none"/>
                <w:lang w:val="en-US" w:eastAsia="zh-CN"/>
              </w:rPr>
              <w:t>4</w:t>
            </w:r>
            <w:r>
              <w:rPr>
                <w:rFonts w:hint="eastAsia" w:ascii="仿宋_GB2312" w:hAnsi="仿宋_GB2312" w:eastAsia="仿宋_GB2312" w:cs="仿宋_GB2312"/>
                <w:color w:val="auto"/>
                <w:sz w:val="20"/>
                <w:szCs w:val="20"/>
                <w:highlight w:val="none"/>
                <w:lang w:eastAsia="zh-CN"/>
              </w:rPr>
              <w:t>%</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4</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部分市民对水生生物保护区全面禁钓政策不理解，加大规范垂钓宣传力度</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99</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highlight w:val="none"/>
              </w:rPr>
            </w:pPr>
          </w:p>
        </w:tc>
      </w:tr>
    </w:tbl>
    <w:p>
      <w:pPr>
        <w:widowControl/>
        <w:spacing w:line="600" w:lineRule="exact"/>
        <w:jc w:val="left"/>
        <w:rPr>
          <w:rFonts w:hint="eastAsia" w:ascii="Times New Roman" w:hAnsi="Times New Roman" w:eastAsia="黑体" w:cs="Times New Roman"/>
          <w:color w:val="auto"/>
          <w:sz w:val="32"/>
          <w:szCs w:val="32"/>
          <w:highlight w:val="none"/>
          <w:lang w:eastAsia="zh-CN"/>
        </w:rPr>
      </w:pPr>
      <w:r>
        <w:rPr>
          <w:rFonts w:hint="default" w:ascii="Times New Roman" w:hAnsi="Times New Roman" w:eastAsia="仿宋_GB2312" w:cs="Times New Roman"/>
          <w:color w:val="auto"/>
          <w:sz w:val="22"/>
          <w:szCs w:val="22"/>
          <w:highlight w:val="none"/>
        </w:rPr>
        <w:t xml:space="preserve">填表人：      填报日期：         联系电话：     </w:t>
      </w:r>
      <w:r>
        <w:rPr>
          <w:rFonts w:hint="eastAsia" w:ascii="Times New Roman" w:hAnsi="Times New Roman" w:eastAsia="仿宋_GB2312" w:cs="Times New Roman"/>
          <w:color w:val="auto"/>
          <w:sz w:val="22"/>
          <w:szCs w:val="22"/>
          <w:highlight w:val="none"/>
          <w:lang w:val="en-US" w:eastAsia="zh-CN"/>
        </w:rPr>
        <w:t xml:space="preserve">           </w:t>
      </w:r>
      <w:r>
        <w:rPr>
          <w:rFonts w:hint="default" w:ascii="Times New Roman" w:hAnsi="Times New Roman" w:eastAsia="仿宋_GB2312" w:cs="Times New Roman"/>
          <w:color w:val="auto"/>
          <w:sz w:val="22"/>
          <w:szCs w:val="22"/>
          <w:highlight w:val="none"/>
        </w:rPr>
        <w:t>单位负责人签字：</w:t>
      </w:r>
      <w:r>
        <w:rPr>
          <w:rFonts w:hint="default" w:ascii="Times New Roman" w:hAnsi="Times New Roman" w:eastAsia="仿宋_GB2312" w:cs="Times New Roman"/>
          <w:color w:val="auto"/>
          <w:sz w:val="22"/>
          <w:szCs w:val="22"/>
          <w:highlight w:val="none"/>
        </w:rPr>
        <w:br w:type="page"/>
      </w: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202</w:t>
      </w:r>
      <w:r>
        <w:rPr>
          <w:rFonts w:hint="eastAsia" w:ascii="方正小标宋简体" w:hAnsi="方正小标宋简体" w:eastAsia="方正小标宋简体" w:cs="方正小标宋简体"/>
          <w:color w:val="auto"/>
          <w:sz w:val="36"/>
          <w:szCs w:val="36"/>
          <w:highlight w:val="none"/>
          <w:lang w:val="en-US" w:eastAsia="zh-CN"/>
        </w:rPr>
        <w:t>3</w:t>
      </w:r>
      <w:r>
        <w:rPr>
          <w:rFonts w:hint="eastAsia" w:ascii="方正小标宋简体" w:hAnsi="方正小标宋简体" w:eastAsia="方正小标宋简体" w:cs="方正小标宋简体"/>
          <w:color w:val="auto"/>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业务工作经费</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项目资金</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0.00</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331.43</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331.43</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0.00</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331.43</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331.43</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lang w:val="en-US" w:eastAsia="zh-CN"/>
              </w:rPr>
              <w:t>1：</w:t>
            </w:r>
            <w:r>
              <w:rPr>
                <w:rFonts w:hint="eastAsia" w:ascii="仿宋_GB2312" w:hAnsi="仿宋_GB2312" w:eastAsia="仿宋_GB2312" w:cs="仿宋_GB2312"/>
                <w:color w:val="auto"/>
                <w:sz w:val="20"/>
                <w:szCs w:val="20"/>
                <w:highlight w:val="none"/>
              </w:rPr>
              <w:t>提升全市农业综合执法水平</w:t>
            </w:r>
            <w:r>
              <w:rPr>
                <w:rFonts w:hint="eastAsia" w:ascii="仿宋_GB2312" w:hAnsi="仿宋_GB2312" w:eastAsia="仿宋_GB2312" w:cs="仿宋_GB2312"/>
                <w:color w:val="auto"/>
                <w:sz w:val="20"/>
                <w:szCs w:val="20"/>
                <w:highlight w:val="none"/>
                <w:lang w:eastAsia="zh-CN"/>
              </w:rPr>
              <w:t>；</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lang w:val="en-US" w:eastAsia="zh-CN"/>
              </w:rPr>
              <w:t>2：</w:t>
            </w:r>
            <w:r>
              <w:rPr>
                <w:rFonts w:hint="eastAsia" w:ascii="仿宋_GB2312" w:hAnsi="仿宋_GB2312" w:eastAsia="仿宋_GB2312" w:cs="仿宋_GB2312"/>
                <w:color w:val="auto"/>
                <w:sz w:val="20"/>
                <w:szCs w:val="20"/>
                <w:highlight w:val="none"/>
              </w:rPr>
              <w:t>开展农资打假和禁捕等执法</w:t>
            </w:r>
            <w:r>
              <w:rPr>
                <w:rFonts w:hint="eastAsia" w:ascii="仿宋_GB2312" w:hAnsi="仿宋_GB2312" w:eastAsia="仿宋_GB2312" w:cs="仿宋_GB2312"/>
                <w:color w:val="auto"/>
                <w:sz w:val="20"/>
                <w:szCs w:val="20"/>
                <w:highlight w:val="none"/>
                <w:lang w:eastAsia="zh-CN"/>
              </w:rPr>
              <w:t>；</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lang w:val="en-US" w:eastAsia="zh-CN"/>
              </w:rPr>
              <w:t>3：</w:t>
            </w:r>
            <w:r>
              <w:rPr>
                <w:rFonts w:hint="eastAsia" w:ascii="仿宋_GB2312" w:hAnsi="仿宋_GB2312" w:eastAsia="仿宋_GB2312" w:cs="仿宋_GB2312"/>
                <w:color w:val="auto"/>
                <w:sz w:val="20"/>
                <w:szCs w:val="20"/>
                <w:highlight w:val="none"/>
              </w:rPr>
              <w:t>保障粮食等重要农产品稳定供给</w:t>
            </w:r>
            <w:r>
              <w:rPr>
                <w:rFonts w:hint="eastAsia" w:ascii="仿宋_GB2312" w:hAnsi="仿宋_GB2312" w:eastAsia="仿宋_GB2312" w:cs="仿宋_GB2312"/>
                <w:color w:val="auto"/>
                <w:sz w:val="20"/>
                <w:szCs w:val="20"/>
                <w:highlight w:val="none"/>
                <w:lang w:eastAsia="zh-CN"/>
              </w:rPr>
              <w:t>；</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lang w:val="en-US" w:eastAsia="zh-CN"/>
              </w:rPr>
              <w:t>4：</w:t>
            </w:r>
            <w:r>
              <w:rPr>
                <w:rFonts w:hint="eastAsia" w:ascii="仿宋_GB2312" w:hAnsi="仿宋_GB2312" w:eastAsia="仿宋_GB2312" w:cs="仿宋_GB2312"/>
                <w:color w:val="auto"/>
                <w:sz w:val="20"/>
                <w:szCs w:val="20"/>
                <w:highlight w:val="none"/>
              </w:rPr>
              <w:t>维护“十年禁渔”秩序</w:t>
            </w:r>
            <w:r>
              <w:rPr>
                <w:rFonts w:hint="eastAsia" w:ascii="仿宋_GB2312" w:hAnsi="仿宋_GB2312" w:eastAsia="仿宋_GB2312" w:cs="仿宋_GB2312"/>
                <w:color w:val="auto"/>
                <w:sz w:val="20"/>
                <w:szCs w:val="20"/>
                <w:highlight w:val="none"/>
                <w:lang w:eastAsia="zh-CN"/>
              </w:rPr>
              <w:t>；</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lang w:val="en-US" w:eastAsia="zh-CN"/>
              </w:rPr>
              <w:t>5：</w:t>
            </w:r>
            <w:r>
              <w:rPr>
                <w:rFonts w:hint="eastAsia" w:ascii="仿宋_GB2312" w:hAnsi="仿宋_GB2312" w:eastAsia="仿宋_GB2312" w:cs="仿宋_GB2312"/>
                <w:color w:val="auto"/>
                <w:sz w:val="20"/>
                <w:szCs w:val="20"/>
                <w:highlight w:val="none"/>
              </w:rPr>
              <w:t>护航乡村振兴。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numPr>
                <w:ilvl w:val="0"/>
                <w:numId w:val="0"/>
              </w:numPr>
              <w:spacing w:line="240" w:lineRule="exact"/>
              <w:jc w:val="lef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w:t>
            </w:r>
            <w:r>
              <w:rPr>
                <w:rFonts w:hint="default" w:ascii="仿宋_GB2312" w:hAnsi="仿宋_GB2312" w:eastAsia="仿宋_GB2312" w:cs="仿宋_GB2312"/>
                <w:color w:val="auto"/>
                <w:sz w:val="20"/>
                <w:szCs w:val="20"/>
                <w:highlight w:val="none"/>
                <w:lang w:val="en-US" w:eastAsia="zh-CN"/>
              </w:rPr>
              <w:t>深入开展农资打假暨“稳粮保供”专项行动。</w:t>
            </w:r>
            <w:r>
              <w:rPr>
                <w:rFonts w:hint="eastAsia" w:ascii="仿宋_GB2312" w:hAnsi="仿宋_GB2312" w:eastAsia="仿宋_GB2312" w:cs="仿宋_GB2312"/>
                <w:color w:val="auto"/>
                <w:sz w:val="20"/>
                <w:szCs w:val="20"/>
                <w:highlight w:val="none"/>
                <w:lang w:val="en-US" w:eastAsia="zh-CN"/>
              </w:rPr>
              <w:t>先是</w:t>
            </w:r>
            <w:r>
              <w:rPr>
                <w:rFonts w:hint="default" w:ascii="仿宋_GB2312" w:hAnsi="仿宋_GB2312" w:eastAsia="仿宋_GB2312" w:cs="仿宋_GB2312"/>
                <w:color w:val="auto"/>
                <w:sz w:val="20"/>
                <w:szCs w:val="20"/>
                <w:highlight w:val="none"/>
                <w:lang w:val="en-US" w:eastAsia="zh-CN"/>
              </w:rPr>
              <w:t>全年常态化开展农资打假</w:t>
            </w:r>
            <w:r>
              <w:rPr>
                <w:rFonts w:hint="eastAsia" w:ascii="仿宋_GB2312" w:hAnsi="仿宋_GB2312" w:eastAsia="仿宋_GB2312" w:cs="仿宋_GB2312"/>
                <w:color w:val="auto"/>
                <w:sz w:val="20"/>
                <w:szCs w:val="20"/>
                <w:highlight w:val="none"/>
                <w:lang w:val="en-US" w:eastAsia="zh-CN"/>
              </w:rPr>
              <w:t>，对农资经营门店开展了执法检查，就无证生产经营、销售假冒伪劣产品等违法行为进行重点查处，发现农资及农产品质量问题线索，全市协查，坚决追根溯源一查到底。</w:t>
            </w:r>
          </w:p>
          <w:p>
            <w:pPr>
              <w:widowControl/>
              <w:numPr>
                <w:ilvl w:val="0"/>
                <w:numId w:val="0"/>
              </w:numPr>
              <w:spacing w:line="240" w:lineRule="exact"/>
              <w:jc w:val="lef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w:t>
            </w:r>
            <w:r>
              <w:rPr>
                <w:rFonts w:hint="default" w:ascii="仿宋_GB2312" w:hAnsi="仿宋_GB2312" w:eastAsia="仿宋_GB2312" w:cs="仿宋_GB2312"/>
                <w:color w:val="auto"/>
                <w:sz w:val="20"/>
                <w:szCs w:val="20"/>
                <w:highlight w:val="none"/>
                <w:lang w:val="en-US" w:eastAsia="zh-CN"/>
              </w:rPr>
              <w:t>、</w:t>
            </w:r>
            <w:r>
              <w:rPr>
                <w:rFonts w:hint="eastAsia" w:ascii="仿宋_GB2312" w:hAnsi="仿宋_GB2312" w:eastAsia="仿宋_GB2312" w:cs="仿宋_GB2312"/>
                <w:color w:val="auto"/>
                <w:sz w:val="20"/>
                <w:szCs w:val="20"/>
                <w:highlight w:val="none"/>
                <w:lang w:val="en-US" w:eastAsia="zh-CN"/>
              </w:rPr>
              <w:t>扎实</w:t>
            </w:r>
            <w:r>
              <w:rPr>
                <w:rFonts w:hint="default" w:ascii="仿宋_GB2312" w:hAnsi="仿宋_GB2312" w:eastAsia="仿宋_GB2312" w:cs="仿宋_GB2312"/>
                <w:color w:val="auto"/>
                <w:sz w:val="20"/>
                <w:szCs w:val="20"/>
                <w:highlight w:val="none"/>
                <w:lang w:val="en-US" w:eastAsia="zh-CN"/>
              </w:rPr>
              <w:t>开展农产品质量安全执法行动</w:t>
            </w:r>
            <w:r>
              <w:rPr>
                <w:rFonts w:hint="eastAsia" w:ascii="仿宋_GB2312" w:hAnsi="仿宋_GB2312" w:eastAsia="仿宋_GB2312" w:cs="仿宋_GB2312"/>
                <w:color w:val="auto"/>
                <w:sz w:val="20"/>
                <w:szCs w:val="20"/>
                <w:highlight w:val="none"/>
                <w:lang w:val="en-US" w:eastAsia="zh-CN"/>
              </w:rPr>
              <w:t>。多次开展中心城区生猪屠宰和肉类经营环节违法行为联合执法行动，确保广大市民食品安全。</w:t>
            </w:r>
          </w:p>
          <w:p>
            <w:pPr>
              <w:pStyle w:val="2"/>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w:t>
            </w:r>
            <w:r>
              <w:rPr>
                <w:rFonts w:hint="default" w:ascii="仿宋_GB2312" w:hAnsi="仿宋_GB2312" w:eastAsia="仿宋_GB2312" w:cs="仿宋_GB2312"/>
                <w:color w:val="auto"/>
                <w:sz w:val="20"/>
                <w:szCs w:val="20"/>
                <w:highlight w:val="none"/>
                <w:lang w:val="en-US" w:eastAsia="zh-CN"/>
              </w:rPr>
              <w:t>、积极创新拓展执法工作</w:t>
            </w:r>
            <w:r>
              <w:rPr>
                <w:rFonts w:hint="eastAsia" w:ascii="仿宋_GB2312" w:hAnsi="仿宋_GB2312" w:eastAsia="仿宋_GB2312" w:cs="仿宋_GB2312"/>
                <w:color w:val="auto"/>
                <w:sz w:val="20"/>
                <w:szCs w:val="20"/>
                <w:highlight w:val="none"/>
                <w:lang w:val="en-US" w:eastAsia="zh-CN"/>
              </w:rPr>
              <w:t>，强化自身建设，努力提升执法人员素质。</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培训全市农业执法骨干</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100人以上</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140人</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开展执法宣传次数</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6次以上</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已完成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64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办理农业案件</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30件以上</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55件</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全市农资市场农业投入品抽检合格率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≥95%</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已达标</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等线" w:eastAsia="仿宋_GB2312" w:cs="仿宋_GB2312"/>
                <w:i w:val="0"/>
                <w:iCs w:val="0"/>
                <w:color w:val="auto"/>
                <w:kern w:val="0"/>
                <w:sz w:val="20"/>
                <w:szCs w:val="20"/>
                <w:u w:val="none"/>
                <w:lang w:val="en-US" w:eastAsia="zh-CN" w:bidi="ar"/>
              </w:rPr>
              <w:t>农产品质量安全监督抽查合格率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等线" w:eastAsia="仿宋_GB2312" w:cs="仿宋_GB2312"/>
                <w:i w:val="0"/>
                <w:iCs w:val="0"/>
                <w:color w:val="auto"/>
                <w:kern w:val="0"/>
                <w:sz w:val="20"/>
                <w:szCs w:val="20"/>
                <w:u w:val="none"/>
                <w:lang w:val="en-US" w:eastAsia="zh-CN" w:bidi="ar"/>
              </w:rPr>
              <w:t>≥96%</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已达标</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等线" w:eastAsia="仿宋_GB2312" w:cs="仿宋_GB2312"/>
                <w:i w:val="0"/>
                <w:iCs w:val="0"/>
                <w:color w:val="auto"/>
                <w:kern w:val="0"/>
                <w:sz w:val="20"/>
                <w:szCs w:val="20"/>
                <w:u w:val="none"/>
                <w:lang w:val="en-US" w:eastAsia="zh-CN" w:bidi="ar"/>
              </w:rPr>
            </w:pPr>
            <w:r>
              <w:rPr>
                <w:rFonts w:hint="eastAsia" w:ascii="仿宋_GB2312" w:hAnsi="等线" w:eastAsia="仿宋_GB2312" w:cs="仿宋_GB2312"/>
                <w:i w:val="0"/>
                <w:iCs w:val="0"/>
                <w:color w:val="auto"/>
                <w:kern w:val="0"/>
                <w:sz w:val="20"/>
                <w:szCs w:val="20"/>
                <w:u w:val="none"/>
                <w:lang w:val="en-US" w:eastAsia="zh-CN" w:bidi="ar"/>
              </w:rPr>
              <w:t>信访满意度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lang w:val="en-US" w:eastAsia="zh-CN"/>
              </w:rPr>
              <w:t>98%</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工作在计划时间内完成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2023年</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2023年</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突发任务及时完成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即时</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即时</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合理使用预算资金</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不超过预算批复数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不超过预算批复数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等线" w:eastAsia="仿宋_GB2312" w:cs="仿宋_GB2312"/>
                <w:i w:val="0"/>
                <w:iCs w:val="0"/>
                <w:color w:val="auto"/>
                <w:kern w:val="0"/>
                <w:sz w:val="20"/>
                <w:szCs w:val="20"/>
                <w:u w:val="none"/>
                <w:lang w:val="en-US" w:eastAsia="zh-CN" w:bidi="ar-SA"/>
              </w:rPr>
            </w:pPr>
            <w:r>
              <w:rPr>
                <w:rFonts w:hint="eastAsia" w:ascii="仿宋_GB2312" w:hAnsi="等线" w:eastAsia="仿宋_GB2312" w:cs="仿宋_GB2312"/>
                <w:i w:val="0"/>
                <w:iCs w:val="0"/>
                <w:color w:val="auto"/>
                <w:kern w:val="0"/>
                <w:sz w:val="20"/>
                <w:szCs w:val="20"/>
                <w:u w:val="none"/>
                <w:lang w:val="en-US" w:eastAsia="zh-CN" w:bidi="ar"/>
              </w:rPr>
              <w:t>对农业经济发展的积极作用</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平稳发展</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平稳发展</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2</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全市禁捕秩序</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保持平稳</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保持平稳</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确保不发生较大及以上农产品质量安全责任事故</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未发生</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未发生</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重点水域水生生物资源</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持续增长</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持续增长</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农业生产环境</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有所改善</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有所改善</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东洞庭湖水生态</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向好</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向好</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rPr>
              <w:t>城区销售农资产品合格率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显著提升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显著提升</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（10分）</w:t>
            </w: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农业生产经营主体满意度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≥95%</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市民满意度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≥98%</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97%</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Style w:val="11"/>
                <w:rFonts w:hAnsi="等线"/>
                <w:color w:val="auto"/>
                <w:lang w:val="en-US" w:eastAsia="zh-CN" w:bidi="ar"/>
              </w:rPr>
              <w:t>加大宣传力度，争取市民理解</w:t>
            </w:r>
            <w:r>
              <w:rPr>
                <w:rStyle w:val="12"/>
                <w:rFonts w:hAnsi="等线"/>
                <w:color w:val="auto"/>
                <w:lang w:val="en-US" w:eastAsia="zh-CN" w:bidi="ar"/>
              </w:rPr>
              <w:t xml:space="preserve">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99</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bl>
    <w:p>
      <w:pPr>
        <w:rPr>
          <w:rFonts w:hint="default" w:ascii="Times New Roman" w:hAnsi="Times New Roman" w:eastAsia="仿宋_GB2312" w:cs="Times New Roman"/>
          <w:color w:val="auto"/>
          <w:sz w:val="18"/>
          <w:szCs w:val="18"/>
          <w:highlight w:val="none"/>
        </w:rPr>
      </w:pPr>
    </w:p>
    <w:p>
      <w:pP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18"/>
          <w:szCs w:val="18"/>
          <w:highlight w:val="none"/>
        </w:rPr>
        <w:t>备注：一个一级项目支出一张表。</w:t>
      </w:r>
      <w:r>
        <w:rPr>
          <w:rFonts w:hint="eastAsia" w:ascii="Times New Roman" w:hAnsi="Times New Roman" w:eastAsia="仿宋_GB2312" w:cs="Times New Roman"/>
          <w:color w:val="auto"/>
          <w:sz w:val="18"/>
          <w:szCs w:val="18"/>
          <w:highlight w:val="none"/>
          <w:lang w:eastAsia="zh-CN"/>
        </w:rPr>
        <w:t>如，</w:t>
      </w:r>
      <w:r>
        <w:rPr>
          <w:rFonts w:hint="default" w:ascii="Times New Roman" w:hAnsi="Times New Roman" w:eastAsia="仿宋_GB2312" w:cs="Times New Roman"/>
          <w:color w:val="auto"/>
          <w:sz w:val="18"/>
          <w:szCs w:val="18"/>
          <w:highlight w:val="none"/>
        </w:rPr>
        <w:t>业务工作经费</w:t>
      </w:r>
      <w:r>
        <w:rPr>
          <w:rFonts w:hint="eastAsia" w:ascii="Times New Roman" w:hAnsi="Times New Roman" w:eastAsia="仿宋_GB2312" w:cs="Times New Roman"/>
          <w:color w:val="auto"/>
          <w:sz w:val="18"/>
          <w:szCs w:val="18"/>
          <w:highlight w:val="none"/>
          <w:lang w:eastAsia="zh-CN"/>
        </w:rPr>
        <w:t>，</w:t>
      </w:r>
      <w:r>
        <w:rPr>
          <w:rFonts w:hint="default" w:ascii="Times New Roman" w:hAnsi="Times New Roman" w:eastAsia="仿宋_GB2312" w:cs="Times New Roman"/>
          <w:color w:val="auto"/>
          <w:sz w:val="18"/>
          <w:szCs w:val="18"/>
          <w:highlight w:val="none"/>
        </w:rPr>
        <w:t>运行维护经费</w:t>
      </w:r>
      <w:r>
        <w:rPr>
          <w:rFonts w:hint="eastAsia" w:ascii="Times New Roman" w:hAnsi="Times New Roman" w:eastAsia="仿宋_GB2312" w:cs="Times New Roman"/>
          <w:color w:val="auto"/>
          <w:sz w:val="18"/>
          <w:szCs w:val="18"/>
          <w:highlight w:val="none"/>
          <w:lang w:eastAsia="zh-CN"/>
        </w:rPr>
        <w:t>，其他事业发展类资金…各一张表。</w:t>
      </w:r>
    </w:p>
    <w:p>
      <w:pPr>
        <w:widowControl/>
        <w:spacing w:line="600" w:lineRule="exact"/>
        <w:jc w:val="left"/>
        <w:rPr>
          <w:rFonts w:hint="eastAsia" w:ascii="Times New Roman" w:hAnsi="Times New Roman" w:eastAsia="黑体" w:cs="Times New Roman"/>
          <w:color w:val="auto"/>
          <w:sz w:val="32"/>
          <w:szCs w:val="32"/>
          <w:highlight w:val="none"/>
          <w:lang w:eastAsia="zh-CN"/>
        </w:rPr>
      </w:pPr>
      <w:r>
        <w:rPr>
          <w:rFonts w:hint="default" w:ascii="Times New Roman" w:hAnsi="Times New Roman" w:eastAsia="仿宋_GB2312" w:cs="Times New Roman"/>
          <w:color w:val="auto"/>
          <w:sz w:val="22"/>
          <w:szCs w:val="22"/>
          <w:highlight w:val="none"/>
        </w:rPr>
        <w:t xml:space="preserve">填表人：       </w:t>
      </w:r>
      <w:r>
        <w:rPr>
          <w:rFonts w:hint="eastAsia" w:ascii="Times New Roman" w:hAnsi="Times New Roman" w:eastAsia="仿宋_GB2312" w:cs="Times New Roman"/>
          <w:color w:val="auto"/>
          <w:sz w:val="22"/>
          <w:szCs w:val="22"/>
          <w:highlight w:val="none"/>
          <w:lang w:val="en-US" w:eastAsia="zh-CN"/>
        </w:rPr>
        <w:t xml:space="preserve"> </w:t>
      </w:r>
      <w:r>
        <w:rPr>
          <w:rFonts w:hint="default" w:ascii="Times New Roman" w:hAnsi="Times New Roman" w:eastAsia="仿宋_GB2312" w:cs="Times New Roman"/>
          <w:color w:val="auto"/>
          <w:sz w:val="22"/>
          <w:szCs w:val="22"/>
          <w:highlight w:val="none"/>
        </w:rPr>
        <w:t xml:space="preserve">填报日期：     </w:t>
      </w:r>
      <w:r>
        <w:rPr>
          <w:rFonts w:hint="eastAsia" w:ascii="Times New Roman" w:hAnsi="Times New Roman" w:eastAsia="仿宋_GB2312" w:cs="Times New Roman"/>
          <w:color w:val="auto"/>
          <w:sz w:val="22"/>
          <w:szCs w:val="22"/>
          <w:highlight w:val="none"/>
          <w:lang w:val="en-US" w:eastAsia="zh-CN"/>
        </w:rPr>
        <w:t xml:space="preserve">      </w:t>
      </w:r>
      <w:r>
        <w:rPr>
          <w:rFonts w:hint="default" w:ascii="Times New Roman" w:hAnsi="Times New Roman" w:eastAsia="仿宋_GB2312" w:cs="Times New Roman"/>
          <w:color w:val="auto"/>
          <w:sz w:val="22"/>
          <w:szCs w:val="22"/>
          <w:highlight w:val="none"/>
        </w:rPr>
        <w:t xml:space="preserve">联系电话：   </w:t>
      </w:r>
      <w:r>
        <w:rPr>
          <w:rFonts w:hint="eastAsia" w:ascii="Times New Roman" w:hAnsi="Times New Roman" w:eastAsia="仿宋_GB2312" w:cs="Times New Roman"/>
          <w:color w:val="auto"/>
          <w:sz w:val="22"/>
          <w:szCs w:val="22"/>
          <w:highlight w:val="none"/>
          <w:lang w:val="en-US" w:eastAsia="zh-CN"/>
        </w:rPr>
        <w:t xml:space="preserve">         </w:t>
      </w:r>
      <w:r>
        <w:rPr>
          <w:rFonts w:hint="default" w:ascii="Times New Roman" w:hAnsi="Times New Roman" w:eastAsia="仿宋_GB2312" w:cs="Times New Roman"/>
          <w:color w:val="auto"/>
          <w:sz w:val="22"/>
          <w:szCs w:val="22"/>
          <w:highlight w:val="none"/>
        </w:rPr>
        <w:t xml:space="preserve"> 单位负责人签字：</w:t>
      </w:r>
      <w:r>
        <w:rPr>
          <w:rFonts w:hint="default" w:ascii="Times New Roman" w:hAnsi="Times New Roman" w:eastAsia="仿宋_GB2312" w:cs="Times New Roman"/>
          <w:color w:val="auto"/>
          <w:sz w:val="22"/>
          <w:szCs w:val="22"/>
          <w:highlight w:val="none"/>
        </w:rPr>
        <w:br w:type="page"/>
      </w: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202</w:t>
      </w:r>
      <w:r>
        <w:rPr>
          <w:rFonts w:hint="eastAsia" w:ascii="方正小标宋简体" w:hAnsi="方正小标宋简体" w:eastAsia="方正小标宋简体" w:cs="方正小标宋简体"/>
          <w:color w:val="auto"/>
          <w:sz w:val="36"/>
          <w:szCs w:val="36"/>
          <w:highlight w:val="none"/>
          <w:lang w:val="en-US" w:eastAsia="zh-CN"/>
        </w:rPr>
        <w:t>3</w:t>
      </w:r>
      <w:r>
        <w:rPr>
          <w:rFonts w:hint="eastAsia" w:ascii="方正小标宋简体" w:hAnsi="方正小标宋简体" w:eastAsia="方正小标宋简体" w:cs="方正小标宋简体"/>
          <w:color w:val="auto"/>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农业执法及禁捕专项</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项目资金</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0</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179.69</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179.69</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179.69</w:t>
            </w:r>
          </w:p>
        </w:tc>
        <w:tc>
          <w:tcPr>
            <w:tcW w:w="1134"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179.69</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lang w:val="en-US" w:eastAsia="zh-CN"/>
              </w:rPr>
              <w:t>1：</w:t>
            </w:r>
            <w:r>
              <w:rPr>
                <w:rFonts w:hint="eastAsia" w:ascii="仿宋_GB2312" w:hAnsi="仿宋_GB2312" w:eastAsia="仿宋_GB2312" w:cs="仿宋_GB2312"/>
                <w:color w:val="auto"/>
                <w:sz w:val="20"/>
                <w:szCs w:val="20"/>
                <w:highlight w:val="none"/>
              </w:rPr>
              <w:t>提升农业综合执法能力，维护农民利益，保障粮食生产安全和农产品质量安全；</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rPr>
              <w:t>2</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我市长江、洞庭湖等重点水域水生生物资源和江豚等珍稀水生野生生物得到有效保护；</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w:t>
            </w:r>
            <w:r>
              <w:rPr>
                <w:rFonts w:hint="eastAsia" w:ascii="仿宋_GB2312" w:hAnsi="仿宋_GB2312" w:eastAsia="仿宋_GB2312" w:cs="仿宋_GB2312"/>
                <w:color w:val="auto"/>
                <w:sz w:val="20"/>
                <w:szCs w:val="20"/>
                <w:highlight w:val="none"/>
              </w:rPr>
              <w:t>3</w:t>
            </w:r>
            <w:r>
              <w:rPr>
                <w:rFonts w:hint="eastAsia" w:ascii="仿宋_GB2312" w:hAnsi="仿宋_GB2312" w:eastAsia="仿宋_GB2312" w:cs="仿宋_GB2312"/>
                <w:color w:val="auto"/>
                <w:sz w:val="20"/>
                <w:szCs w:val="20"/>
                <w:highlight w:val="none"/>
                <w:lang w:eastAsia="zh-CN"/>
              </w:rPr>
              <w:t>：</w:t>
            </w:r>
            <w:r>
              <w:rPr>
                <w:rFonts w:hint="eastAsia" w:ascii="仿宋_GB2312" w:hAnsi="仿宋_GB2312" w:eastAsia="仿宋_GB2312" w:cs="仿宋_GB2312"/>
                <w:color w:val="auto"/>
                <w:sz w:val="20"/>
                <w:szCs w:val="20"/>
                <w:highlight w:val="none"/>
              </w:rPr>
              <w:t>实现渔业可持续发展的目标，提升市本级渔政执法能力，实施好“十年禁渔”制度。</w:t>
            </w:r>
            <w:r>
              <w:rPr>
                <w:rFonts w:hint="eastAsia" w:ascii="仿宋_GB2312" w:hAnsi="仿宋_GB2312" w:eastAsia="仿宋_GB2312" w:cs="仿宋_GB2312"/>
                <w:color w:val="auto"/>
                <w:sz w:val="20"/>
                <w:szCs w:val="20"/>
                <w:highlight w:val="none"/>
              </w:rPr>
              <w:tab/>
            </w:r>
            <w:r>
              <w:rPr>
                <w:rFonts w:hint="eastAsia" w:ascii="仿宋_GB2312" w:hAnsi="仿宋_GB2312" w:eastAsia="仿宋_GB2312" w:cs="仿宋_GB2312"/>
                <w:color w:val="auto"/>
                <w:sz w:val="20"/>
                <w:szCs w:val="20"/>
                <w:highlight w:val="none"/>
              </w:rPr>
              <w:tab/>
            </w:r>
          </w:p>
        </w:tc>
        <w:tc>
          <w:tcPr>
            <w:tcW w:w="4253" w:type="dxa"/>
            <w:gridSpan w:val="4"/>
            <w:tcBorders>
              <w:top w:val="single" w:color="auto" w:sz="4" w:space="0"/>
              <w:left w:val="nil"/>
              <w:bottom w:val="single" w:color="auto" w:sz="4" w:space="0"/>
              <w:right w:val="single" w:color="auto" w:sz="4" w:space="0"/>
            </w:tcBorders>
            <w:noWrap w:val="0"/>
            <w:vAlign w:val="center"/>
          </w:tcPr>
          <w:p>
            <w:pPr>
              <w:pStyle w:val="2"/>
              <w:numPr>
                <w:ilvl w:val="0"/>
                <w:numId w:val="1"/>
              </w:numP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强力推进“十年禁渔”执法监管。“十年禁渔”集中整治工作专班实行常态化运行，每周将执法开展情况、督查督办情况、典型经验做法形成工作简报。</w:t>
            </w:r>
          </w:p>
          <w:p>
            <w:pPr>
              <w:pStyle w:val="2"/>
              <w:numPr>
                <w:ilvl w:val="0"/>
                <w:numId w:val="1"/>
              </w:numPr>
              <w:ind w:left="0" w:leftChars="0" w:firstLine="0" w:firstLineChars="0"/>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开展联合执法，重点对非法捕捞、违规垂钓、违规载客等3类违法违规行为开展集中整治。</w:t>
            </w:r>
          </w:p>
          <w:p>
            <w:pPr>
              <w:pStyle w:val="2"/>
              <w:numPr>
                <w:ilvl w:val="0"/>
                <w:numId w:val="1"/>
              </w:numPr>
              <w:ind w:left="0" w:leftChars="0" w:firstLine="0" w:firstLineChars="0"/>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充分发挥智慧渔政作用，严厉打击各类非法捕捞和违规垂钓行为，巩固我市“四清四无”禁捕成效。</w:t>
            </w:r>
          </w:p>
          <w:p>
            <w:pPr>
              <w:pStyle w:val="2"/>
              <w:numPr>
                <w:ilvl w:val="0"/>
                <w:numId w:val="1"/>
              </w:numPr>
              <w:ind w:left="0" w:leftChars="0" w:firstLine="0" w:firstLineChars="0"/>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开展农产品质量安全执法行动，</w:t>
            </w:r>
            <w:r>
              <w:rPr>
                <w:rFonts w:hint="eastAsia" w:ascii="仿宋_GB2312" w:hAnsi="仿宋_GB2312" w:eastAsia="仿宋_GB2312" w:cs="仿宋_GB2312"/>
                <w:color w:val="auto"/>
                <w:sz w:val="20"/>
                <w:szCs w:val="20"/>
                <w:highlight w:val="none"/>
              </w:rPr>
              <w:t>保障粮食生产安全，提高农产品质量安全合格率</w:t>
            </w:r>
            <w:r>
              <w:rPr>
                <w:rFonts w:hint="eastAsia" w:ascii="仿宋_GB2312" w:hAnsi="仿宋_GB2312" w:eastAsia="仿宋_GB2312" w:cs="仿宋_GB2312"/>
                <w:color w:val="auto"/>
                <w:sz w:val="20"/>
                <w:szCs w:val="20"/>
                <w:highlight w:val="none"/>
                <w:lang w:eastAsia="zh-CN"/>
              </w:rPr>
              <w:t>。</w:t>
            </w:r>
          </w:p>
          <w:p>
            <w:pPr>
              <w:pStyle w:val="2"/>
              <w:numPr>
                <w:ilvl w:val="0"/>
                <w:numId w:val="1"/>
              </w:numPr>
              <w:ind w:left="0" w:leftChars="0" w:firstLine="0" w:firstLineChars="0"/>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充分发挥新媒体传播优势，发布法律法规政策、违法典型案例，提高公众的法律意识和遵守法律的自觉性。</w:t>
            </w:r>
          </w:p>
          <w:p>
            <w:pPr>
              <w:pStyle w:val="2"/>
              <w:numPr>
                <w:ilvl w:val="0"/>
                <w:numId w:val="1"/>
              </w:numPr>
              <w:ind w:left="0" w:leftChars="0" w:firstLine="0" w:firstLineChars="0"/>
              <w:rPr>
                <w:rFonts w:hint="eastAsia"/>
                <w:color w:val="auto"/>
              </w:rPr>
            </w:pPr>
            <w:r>
              <w:rPr>
                <w:rFonts w:hint="eastAsia" w:ascii="仿宋_GB2312" w:hAnsi="仿宋_GB2312" w:eastAsia="仿宋_GB2312" w:cs="仿宋_GB2312"/>
                <w:color w:val="auto"/>
                <w:sz w:val="20"/>
                <w:szCs w:val="20"/>
                <w:highlight w:val="none"/>
                <w:lang w:val="en-US" w:eastAsia="zh-CN"/>
              </w:rPr>
              <w:t>执法人员业务培训，举办执法“十年禁渔”业务培训班，除现场讲课外，组织了执法现场演示和“十年禁渔”成果观摩等活动，培训贴近执法实际，有力提升了执法办案水平。</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等线" w:eastAsia="仿宋_GB2312" w:cs="仿宋_GB2312"/>
                <w:i w:val="0"/>
                <w:iCs w:val="0"/>
                <w:color w:val="auto"/>
                <w:kern w:val="0"/>
                <w:sz w:val="20"/>
                <w:szCs w:val="20"/>
                <w:u w:val="none"/>
                <w:lang w:val="en-US" w:eastAsia="zh-CN" w:bidi="ar-SA"/>
              </w:rPr>
            </w:pPr>
            <w:r>
              <w:rPr>
                <w:rFonts w:hint="eastAsia" w:ascii="仿宋_GB2312" w:hAnsi="等线" w:eastAsia="仿宋_GB2312" w:cs="仿宋_GB2312"/>
                <w:i w:val="0"/>
                <w:iCs w:val="0"/>
                <w:color w:val="auto"/>
                <w:kern w:val="0"/>
                <w:sz w:val="20"/>
                <w:szCs w:val="20"/>
                <w:u w:val="none"/>
                <w:lang w:val="en-US" w:eastAsia="zh-CN" w:bidi="ar"/>
              </w:rPr>
              <w:t>年度农业综合执法办案数</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30件以上</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55件</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等线" w:eastAsia="仿宋_GB2312" w:cs="仿宋_GB2312"/>
                <w:i w:val="0"/>
                <w:iCs w:val="0"/>
                <w:color w:val="auto"/>
                <w:kern w:val="0"/>
                <w:sz w:val="20"/>
                <w:szCs w:val="20"/>
                <w:u w:val="none"/>
                <w:lang w:val="en-US" w:eastAsia="zh-CN" w:bidi="ar-SA"/>
              </w:rPr>
            </w:pPr>
            <w:r>
              <w:rPr>
                <w:rFonts w:hint="eastAsia" w:ascii="仿宋_GB2312" w:hAnsi="等线" w:eastAsia="仿宋_GB2312" w:cs="仿宋_GB2312"/>
                <w:i w:val="0"/>
                <w:iCs w:val="0"/>
                <w:color w:val="auto"/>
                <w:kern w:val="0"/>
                <w:sz w:val="20"/>
                <w:szCs w:val="20"/>
                <w:u w:val="none"/>
                <w:lang w:val="en-US" w:eastAsia="zh-CN" w:bidi="ar"/>
              </w:rPr>
              <w:t>年度执法巡航次数</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300次以上</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已完成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等线" w:eastAsia="仿宋_GB2312" w:cs="仿宋_GB2312"/>
                <w:i w:val="0"/>
                <w:iCs w:val="0"/>
                <w:color w:val="auto"/>
                <w:kern w:val="0"/>
                <w:sz w:val="20"/>
                <w:szCs w:val="20"/>
                <w:u w:val="none"/>
                <w:lang w:val="en-US" w:eastAsia="zh-CN" w:bidi="ar"/>
              </w:rPr>
            </w:pPr>
            <w:r>
              <w:rPr>
                <w:rFonts w:hint="eastAsia" w:ascii="仿宋_GB2312" w:hAnsi="等线" w:eastAsia="仿宋_GB2312" w:cs="仿宋_GB2312"/>
                <w:i w:val="0"/>
                <w:iCs w:val="0"/>
                <w:color w:val="auto"/>
                <w:kern w:val="0"/>
                <w:sz w:val="20"/>
                <w:szCs w:val="20"/>
                <w:u w:val="none"/>
                <w:lang w:val="en-US" w:eastAsia="zh-CN" w:bidi="ar"/>
              </w:rPr>
              <w:t>查处违规垂钓案件简易程序</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等线" w:eastAsia="仿宋_GB2312" w:cs="仿宋_GB2312"/>
                <w:i w:val="0"/>
                <w:iCs w:val="0"/>
                <w:color w:val="auto"/>
                <w:kern w:val="0"/>
                <w:sz w:val="20"/>
                <w:szCs w:val="20"/>
                <w:u w:val="none"/>
                <w:lang w:val="en-US" w:eastAsia="zh-CN" w:bidi="ar"/>
              </w:rPr>
            </w:pPr>
            <w:r>
              <w:rPr>
                <w:rFonts w:hint="eastAsia" w:ascii="仿宋_GB2312" w:hAnsi="等线" w:eastAsia="仿宋_GB2312" w:cs="仿宋_GB2312"/>
                <w:i w:val="0"/>
                <w:iCs w:val="0"/>
                <w:color w:val="auto"/>
                <w:kern w:val="0"/>
                <w:sz w:val="20"/>
                <w:szCs w:val="20"/>
                <w:u w:val="none"/>
                <w:lang w:val="en-US" w:eastAsia="zh-CN" w:bidi="ar"/>
              </w:rPr>
              <w:t>100%</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3000起</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执法人员</w:t>
            </w:r>
            <w:r>
              <w:rPr>
                <w:rFonts w:hint="eastAsia" w:ascii="仿宋_GB2312" w:hAnsi="仿宋_GB2312" w:eastAsia="仿宋_GB2312" w:cs="仿宋_GB2312"/>
                <w:color w:val="auto"/>
                <w:sz w:val="20"/>
                <w:szCs w:val="20"/>
                <w:highlight w:val="none"/>
              </w:rPr>
              <w:t>业务培训</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1次</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已完成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水生生物资源养护</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提升明显</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提升明显</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渔政执法能力</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提升明显</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提升明显</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等线" w:eastAsia="仿宋_GB2312" w:cs="仿宋_GB2312"/>
                <w:i w:val="0"/>
                <w:iCs w:val="0"/>
                <w:color w:val="auto"/>
                <w:kern w:val="0"/>
                <w:sz w:val="20"/>
                <w:szCs w:val="20"/>
                <w:u w:val="none"/>
                <w:lang w:val="en-US" w:eastAsia="zh-CN" w:bidi="ar"/>
              </w:rPr>
            </w:pPr>
            <w:r>
              <w:rPr>
                <w:rFonts w:hint="eastAsia" w:ascii="仿宋_GB2312" w:hAnsi="等线" w:eastAsia="仿宋_GB2312" w:cs="仿宋_GB2312"/>
                <w:i w:val="0"/>
                <w:iCs w:val="0"/>
                <w:color w:val="auto"/>
                <w:kern w:val="0"/>
                <w:sz w:val="20"/>
                <w:szCs w:val="20"/>
                <w:u w:val="none"/>
                <w:lang w:val="en-US" w:eastAsia="zh-CN" w:bidi="ar"/>
              </w:rPr>
              <w:t>发现问题解决、查处</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等线" w:eastAsia="仿宋_GB2312" w:cs="仿宋_GB2312"/>
                <w:i w:val="0"/>
                <w:iCs w:val="0"/>
                <w:color w:val="auto"/>
                <w:kern w:val="0"/>
                <w:sz w:val="20"/>
                <w:szCs w:val="20"/>
                <w:u w:val="none"/>
                <w:lang w:val="en-US" w:eastAsia="zh-CN" w:bidi="ar"/>
              </w:rPr>
            </w:pPr>
            <w:r>
              <w:rPr>
                <w:rFonts w:hint="eastAsia" w:ascii="仿宋_GB2312" w:hAnsi="等线" w:eastAsia="仿宋_GB2312" w:cs="仿宋_GB2312"/>
                <w:i w:val="0"/>
                <w:iCs w:val="0"/>
                <w:color w:val="auto"/>
                <w:kern w:val="0"/>
                <w:sz w:val="20"/>
                <w:szCs w:val="20"/>
                <w:u w:val="none"/>
                <w:lang w:val="en-US" w:eastAsia="zh-CN" w:bidi="ar"/>
              </w:rPr>
              <w:t>100%</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等线" w:eastAsia="仿宋_GB2312" w:cs="仿宋_GB2312"/>
                <w:i w:val="0"/>
                <w:iCs w:val="0"/>
                <w:color w:val="auto"/>
                <w:kern w:val="0"/>
                <w:sz w:val="20"/>
                <w:szCs w:val="20"/>
                <w:u w:val="none"/>
                <w:lang w:val="en-US" w:eastAsia="zh-CN" w:bidi="ar"/>
              </w:rPr>
            </w:pPr>
            <w:r>
              <w:rPr>
                <w:rFonts w:hint="eastAsia" w:ascii="仿宋_GB2312" w:hAnsi="等线" w:eastAsia="仿宋_GB2312" w:cs="仿宋_GB2312"/>
                <w:i w:val="0"/>
                <w:iCs w:val="0"/>
                <w:color w:val="auto"/>
                <w:kern w:val="0"/>
                <w:sz w:val="20"/>
                <w:szCs w:val="20"/>
                <w:u w:val="none"/>
                <w:lang w:val="en-US" w:eastAsia="zh-CN" w:bidi="ar"/>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监察率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100%</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项目在计划时间内完成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2023年</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2023年</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合理使用预算资金，保障执法运行正常进行。</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控制在批复预算内</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不超过预算批复数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等线" w:eastAsia="仿宋_GB2312" w:cs="仿宋_GB2312"/>
                <w:i w:val="0"/>
                <w:iCs w:val="0"/>
                <w:color w:val="auto"/>
                <w:kern w:val="0"/>
                <w:sz w:val="20"/>
                <w:szCs w:val="20"/>
                <w:u w:val="none"/>
                <w:lang w:val="en-US" w:eastAsia="zh-CN" w:bidi="ar-SA"/>
              </w:rPr>
            </w:pPr>
            <w:r>
              <w:rPr>
                <w:rFonts w:hint="eastAsia" w:ascii="仿宋_GB2312" w:hAnsi="等线" w:eastAsia="仿宋_GB2312" w:cs="仿宋_GB2312"/>
                <w:i w:val="0"/>
                <w:iCs w:val="0"/>
                <w:color w:val="auto"/>
                <w:kern w:val="0"/>
                <w:sz w:val="20"/>
                <w:szCs w:val="20"/>
                <w:u w:val="none"/>
                <w:lang w:val="en-US" w:eastAsia="zh-CN" w:bidi="ar"/>
              </w:rPr>
              <w:t>对农业经济发展的积极作用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平稳发展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平稳发展</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违规捕捞行为</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明显减少</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明显减少</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3</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本地市场销售的农业投入品合格率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95%以上</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96%</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3</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促进我市长江洞庭湖流域重点水域生态环境修复</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促进农产品产地生态环境健康发展</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提高公众法律意识、守法自觉性</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有效提升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有效提升</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农业投入品生产经营主体合规经营意识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明显增强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明显增强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bidi="ar-SA"/>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市民对水生生物资源的保护意识</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明显增强</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明显增强</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3</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3</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（10分）</w:t>
            </w: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农业执法当事人满意度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≥98%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0"/>
                <w:szCs w:val="20"/>
                <w:highlight w:val="none"/>
              </w:rPr>
            </w:pPr>
            <w:r>
              <w:rPr>
                <w:rFonts w:hint="eastAsia" w:ascii="仿宋_GB2312" w:hAnsi="等线" w:eastAsia="仿宋_GB2312" w:cs="仿宋_GB2312"/>
                <w:i w:val="0"/>
                <w:iCs w:val="0"/>
                <w:color w:val="auto"/>
                <w:kern w:val="0"/>
                <w:sz w:val="20"/>
                <w:szCs w:val="20"/>
                <w:u w:val="none"/>
                <w:lang w:val="en-US" w:eastAsia="zh-CN" w:bidi="ar"/>
              </w:rPr>
              <w:t>97%</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w:t>
            </w:r>
          </w:p>
        </w:tc>
        <w:tc>
          <w:tcPr>
            <w:tcW w:w="14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等线" w:eastAsia="仿宋_GB2312" w:cs="仿宋_GB2312"/>
                <w:i w:val="0"/>
                <w:iCs w:val="0"/>
                <w:color w:val="auto"/>
                <w:kern w:val="0"/>
                <w:sz w:val="20"/>
                <w:szCs w:val="20"/>
                <w:u w:val="none"/>
                <w:lang w:val="en-US" w:eastAsia="zh-CN" w:bidi="ar-SA"/>
              </w:rPr>
            </w:pPr>
            <w:r>
              <w:rPr>
                <w:rStyle w:val="11"/>
                <w:rFonts w:hAnsi="等线"/>
                <w:color w:val="auto"/>
                <w:lang w:val="en-US" w:eastAsia="zh-CN" w:bidi="ar"/>
              </w:rPr>
              <w:t>加大东洞庭湖保护区禁钓宣传力度，争取市民理解</w:t>
            </w:r>
            <w:r>
              <w:rPr>
                <w:rStyle w:val="12"/>
                <w:rFonts w:hAnsi="等线"/>
                <w:color w:val="auto"/>
                <w:lang w:val="en-US" w:eastAsia="zh-CN" w:bidi="ar"/>
              </w:rPr>
              <w:t xml:space="preserve">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99</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bl>
    <w:p>
      <w:pPr>
        <w:rPr>
          <w:rFonts w:hint="default" w:ascii="Times New Roman" w:hAnsi="Times New Roman" w:eastAsia="仿宋_GB2312" w:cs="Times New Roman"/>
          <w:color w:val="auto"/>
          <w:sz w:val="18"/>
          <w:szCs w:val="18"/>
          <w:highlight w:val="none"/>
        </w:rPr>
      </w:pPr>
    </w:p>
    <w:p>
      <w:pP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18"/>
          <w:szCs w:val="18"/>
          <w:highlight w:val="none"/>
        </w:rPr>
        <w:t>备注：一个一级项目支出一张表。</w:t>
      </w:r>
      <w:r>
        <w:rPr>
          <w:rFonts w:hint="eastAsia" w:ascii="Times New Roman" w:hAnsi="Times New Roman" w:eastAsia="仿宋_GB2312" w:cs="Times New Roman"/>
          <w:color w:val="auto"/>
          <w:sz w:val="18"/>
          <w:szCs w:val="18"/>
          <w:highlight w:val="none"/>
          <w:lang w:eastAsia="zh-CN"/>
        </w:rPr>
        <w:t>如，</w:t>
      </w:r>
      <w:r>
        <w:rPr>
          <w:rFonts w:hint="default" w:ascii="Times New Roman" w:hAnsi="Times New Roman" w:eastAsia="仿宋_GB2312" w:cs="Times New Roman"/>
          <w:color w:val="auto"/>
          <w:sz w:val="18"/>
          <w:szCs w:val="18"/>
          <w:highlight w:val="none"/>
        </w:rPr>
        <w:t>业务工作经费</w:t>
      </w:r>
      <w:r>
        <w:rPr>
          <w:rFonts w:hint="eastAsia" w:ascii="Times New Roman" w:hAnsi="Times New Roman" w:eastAsia="仿宋_GB2312" w:cs="Times New Roman"/>
          <w:color w:val="auto"/>
          <w:sz w:val="18"/>
          <w:szCs w:val="18"/>
          <w:highlight w:val="none"/>
          <w:lang w:eastAsia="zh-CN"/>
        </w:rPr>
        <w:t>，</w:t>
      </w:r>
      <w:r>
        <w:rPr>
          <w:rFonts w:hint="default" w:ascii="Times New Roman" w:hAnsi="Times New Roman" w:eastAsia="仿宋_GB2312" w:cs="Times New Roman"/>
          <w:color w:val="auto"/>
          <w:sz w:val="18"/>
          <w:szCs w:val="18"/>
          <w:highlight w:val="none"/>
        </w:rPr>
        <w:t>运行维护经费</w:t>
      </w:r>
      <w:r>
        <w:rPr>
          <w:rFonts w:hint="eastAsia" w:ascii="Times New Roman" w:hAnsi="Times New Roman" w:eastAsia="仿宋_GB2312" w:cs="Times New Roman"/>
          <w:color w:val="auto"/>
          <w:sz w:val="18"/>
          <w:szCs w:val="18"/>
          <w:highlight w:val="none"/>
          <w:lang w:eastAsia="zh-CN"/>
        </w:rPr>
        <w:t>，其他事业发展类资金…各一张表。</w:t>
      </w:r>
    </w:p>
    <w:p>
      <w:pPr>
        <w:rPr>
          <w:rFonts w:hint="eastAsia" w:ascii="黑体" w:hAnsi="黑体" w:eastAsia="黑体" w:cs="黑体"/>
          <w:color w:val="auto"/>
          <w:sz w:val="32"/>
          <w:szCs w:val="32"/>
          <w:highlight w:val="none"/>
          <w:lang w:val="en-US" w:eastAsia="zh-CN"/>
        </w:rPr>
      </w:pPr>
      <w:r>
        <w:rPr>
          <w:rFonts w:hint="default" w:ascii="Times New Roman" w:hAnsi="Times New Roman" w:eastAsia="仿宋_GB2312" w:cs="Times New Roman"/>
          <w:color w:val="auto"/>
          <w:sz w:val="22"/>
          <w:szCs w:val="22"/>
          <w:highlight w:val="none"/>
        </w:rPr>
        <w:t xml:space="preserve">填表人：       </w:t>
      </w:r>
      <w:r>
        <w:rPr>
          <w:rFonts w:hint="eastAsia" w:ascii="Times New Roman" w:hAnsi="Times New Roman" w:eastAsia="仿宋_GB2312" w:cs="Times New Roman"/>
          <w:color w:val="auto"/>
          <w:sz w:val="22"/>
          <w:szCs w:val="22"/>
          <w:highlight w:val="none"/>
          <w:lang w:val="en-US" w:eastAsia="zh-CN"/>
        </w:rPr>
        <w:t xml:space="preserve"> </w:t>
      </w:r>
      <w:r>
        <w:rPr>
          <w:rFonts w:hint="default" w:ascii="Times New Roman" w:hAnsi="Times New Roman" w:eastAsia="仿宋_GB2312" w:cs="Times New Roman"/>
          <w:color w:val="auto"/>
          <w:sz w:val="22"/>
          <w:szCs w:val="22"/>
          <w:highlight w:val="none"/>
        </w:rPr>
        <w:t xml:space="preserve">填报日期：     </w:t>
      </w:r>
      <w:r>
        <w:rPr>
          <w:rFonts w:hint="eastAsia" w:ascii="Times New Roman" w:hAnsi="Times New Roman" w:eastAsia="仿宋_GB2312" w:cs="Times New Roman"/>
          <w:color w:val="auto"/>
          <w:sz w:val="22"/>
          <w:szCs w:val="22"/>
          <w:highlight w:val="none"/>
          <w:lang w:val="en-US" w:eastAsia="zh-CN"/>
        </w:rPr>
        <w:t xml:space="preserve">      </w:t>
      </w:r>
      <w:r>
        <w:rPr>
          <w:rFonts w:hint="default" w:ascii="Times New Roman" w:hAnsi="Times New Roman" w:eastAsia="仿宋_GB2312" w:cs="Times New Roman"/>
          <w:color w:val="auto"/>
          <w:sz w:val="22"/>
          <w:szCs w:val="22"/>
          <w:highlight w:val="none"/>
        </w:rPr>
        <w:t xml:space="preserve">联系电话：   </w:t>
      </w:r>
      <w:r>
        <w:rPr>
          <w:rFonts w:hint="eastAsia" w:ascii="Times New Roman" w:hAnsi="Times New Roman" w:eastAsia="仿宋_GB2312" w:cs="Times New Roman"/>
          <w:color w:val="auto"/>
          <w:sz w:val="22"/>
          <w:szCs w:val="22"/>
          <w:highlight w:val="none"/>
          <w:lang w:val="en-US" w:eastAsia="zh-CN"/>
        </w:rPr>
        <w:t xml:space="preserve">         </w:t>
      </w:r>
      <w:r>
        <w:rPr>
          <w:rFonts w:hint="default" w:ascii="Times New Roman" w:hAnsi="Times New Roman" w:eastAsia="仿宋_GB2312" w:cs="Times New Roman"/>
          <w:color w:val="auto"/>
          <w:sz w:val="22"/>
          <w:szCs w:val="22"/>
          <w:highlight w:val="none"/>
        </w:rPr>
        <w:t xml:space="preserve"> 单位负责人签字：</w:t>
      </w:r>
      <w:r>
        <w:rPr>
          <w:rFonts w:hint="default" w:ascii="Times New Roman" w:hAnsi="Times New Roman" w:eastAsia="仿宋_GB2312" w:cs="Times New Roman"/>
          <w:color w:val="auto"/>
          <w:sz w:val="22"/>
          <w:szCs w:val="22"/>
          <w:highlight w:val="none"/>
        </w:rPr>
        <w:br w:type="page"/>
      </w: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4</w:t>
      </w:r>
    </w:p>
    <w:p>
      <w:pPr>
        <w:jc w:val="center"/>
        <w:rPr>
          <w:rFonts w:hint="default" w:ascii="Times New Roman" w:hAnsi="Times New Roman" w:eastAsia="方正小标宋_GBK" w:cs="Times New Roman"/>
          <w:color w:val="auto"/>
          <w:sz w:val="52"/>
          <w:szCs w:val="52"/>
          <w:highlight w:val="none"/>
        </w:rPr>
      </w:pPr>
    </w:p>
    <w:p>
      <w:pPr>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202</w:t>
      </w:r>
      <w:r>
        <w:rPr>
          <w:rFonts w:hint="eastAsia" w:ascii="方正小标宋简体" w:hAnsi="方正小标宋简体" w:eastAsia="方正小标宋简体" w:cs="方正小标宋简体"/>
          <w:color w:val="auto"/>
          <w:sz w:val="44"/>
          <w:szCs w:val="44"/>
          <w:highlight w:val="none"/>
          <w:lang w:val="en-US" w:eastAsia="zh-CN"/>
        </w:rPr>
        <w:t>3</w:t>
      </w:r>
      <w:r>
        <w:rPr>
          <w:rFonts w:hint="eastAsia" w:ascii="方正小标宋简体" w:hAnsi="方正小标宋简体" w:eastAsia="方正小标宋简体" w:cs="方正小标宋简体"/>
          <w:color w:val="auto"/>
          <w:sz w:val="44"/>
          <w:szCs w:val="44"/>
          <w:highlight w:val="none"/>
        </w:rPr>
        <w:t>年度岳阳市农业综合行政执法支队</w:t>
      </w:r>
    </w:p>
    <w:p>
      <w:pPr>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整体支出绩效自评报告</w:t>
      </w:r>
    </w:p>
    <w:p>
      <w:pPr>
        <w:jc w:val="center"/>
        <w:rPr>
          <w:rFonts w:hint="default" w:ascii="Times New Roman" w:hAnsi="Times New Roman" w:eastAsia="方正小标宋_GBK" w:cs="Times New Roman"/>
          <w:b/>
          <w:color w:val="auto"/>
          <w:sz w:val="52"/>
          <w:szCs w:val="52"/>
          <w:highlight w:val="none"/>
        </w:rPr>
      </w:pPr>
    </w:p>
    <w:p>
      <w:pPr>
        <w:jc w:val="center"/>
        <w:rPr>
          <w:rFonts w:hint="default" w:ascii="Times New Roman" w:hAnsi="Times New Roman" w:eastAsia="楷体_GB2312" w:cs="Times New Roman"/>
          <w:b/>
          <w:color w:val="auto"/>
          <w:sz w:val="32"/>
          <w:szCs w:val="32"/>
          <w:highlight w:val="none"/>
        </w:rPr>
      </w:pPr>
    </w:p>
    <w:p>
      <w:pPr>
        <w:jc w:val="center"/>
        <w:rPr>
          <w:rFonts w:hint="default" w:ascii="Times New Roman" w:hAnsi="Times New Roman" w:eastAsia="楷体_GB2312" w:cs="Times New Roman"/>
          <w:b/>
          <w:color w:val="auto"/>
          <w:sz w:val="32"/>
          <w:szCs w:val="32"/>
          <w:highlight w:val="none"/>
        </w:rPr>
      </w:pPr>
    </w:p>
    <w:p>
      <w:pPr>
        <w:jc w:val="center"/>
        <w:rPr>
          <w:rFonts w:hint="default" w:ascii="Times New Roman" w:hAnsi="Times New Roman" w:eastAsia="楷体_GB2312" w:cs="Times New Roman"/>
          <w:b/>
          <w:color w:val="auto"/>
          <w:sz w:val="32"/>
          <w:szCs w:val="32"/>
          <w:highlight w:val="none"/>
        </w:rPr>
      </w:pPr>
    </w:p>
    <w:p>
      <w:pPr>
        <w:jc w:val="center"/>
        <w:rPr>
          <w:rFonts w:hint="default" w:ascii="Times New Roman" w:hAnsi="Times New Roman" w:eastAsia="楷体_GB2312" w:cs="Times New Roman"/>
          <w:b/>
          <w:color w:val="auto"/>
          <w:sz w:val="32"/>
          <w:szCs w:val="32"/>
          <w:highlight w:val="none"/>
        </w:rPr>
      </w:pPr>
    </w:p>
    <w:p>
      <w:pPr>
        <w:jc w:val="center"/>
        <w:rPr>
          <w:rFonts w:hint="default" w:ascii="Times New Roman" w:hAnsi="Times New Roman" w:eastAsia="楷体_GB2312" w:cs="Times New Roman"/>
          <w:b/>
          <w:color w:val="auto"/>
          <w:sz w:val="32"/>
          <w:szCs w:val="32"/>
          <w:highlight w:val="none"/>
        </w:rPr>
      </w:pPr>
    </w:p>
    <w:p>
      <w:pPr>
        <w:jc w:val="center"/>
        <w:rPr>
          <w:rFonts w:hint="default" w:ascii="Times New Roman" w:hAnsi="Times New Roman" w:eastAsia="楷体_GB2312" w:cs="Times New Roman"/>
          <w:b/>
          <w:color w:val="auto"/>
          <w:sz w:val="32"/>
          <w:szCs w:val="32"/>
          <w:highlight w:val="none"/>
        </w:rPr>
      </w:pPr>
    </w:p>
    <w:p>
      <w:pPr>
        <w:jc w:val="center"/>
        <w:rPr>
          <w:rFonts w:hint="default" w:ascii="Times New Roman" w:hAnsi="Times New Roman" w:eastAsia="黑体" w:cs="Times New Roman"/>
          <w:color w:val="auto"/>
          <w:sz w:val="32"/>
          <w:szCs w:val="32"/>
          <w:highlight w:val="none"/>
        </w:rPr>
      </w:pPr>
    </w:p>
    <w:p>
      <w:pPr>
        <w:jc w:val="center"/>
        <w:rPr>
          <w:rFonts w:hint="default" w:ascii="Times New Roman" w:hAnsi="Times New Roman" w:eastAsia="黑体" w:cs="Times New Roman"/>
          <w:color w:val="auto"/>
          <w:sz w:val="32"/>
          <w:szCs w:val="32"/>
          <w:highlight w:val="none"/>
        </w:rPr>
      </w:pPr>
    </w:p>
    <w:p>
      <w:pPr>
        <w:jc w:val="center"/>
        <w:rPr>
          <w:rFonts w:hint="default" w:ascii="Times New Roman" w:hAnsi="Times New Roman" w:eastAsia="黑体" w:cs="Times New Roman"/>
          <w:color w:val="auto"/>
          <w:sz w:val="32"/>
          <w:szCs w:val="32"/>
          <w:highlight w:val="none"/>
        </w:rPr>
      </w:pPr>
    </w:p>
    <w:p>
      <w:pPr>
        <w:jc w:val="both"/>
        <w:rPr>
          <w:rFonts w:hint="default" w:ascii="Times New Roman" w:hAnsi="Times New Roman" w:eastAsia="黑体" w:cs="Times New Roman"/>
          <w:color w:val="auto"/>
          <w:sz w:val="32"/>
          <w:szCs w:val="32"/>
          <w:highlight w:val="none"/>
        </w:rPr>
      </w:pPr>
    </w:p>
    <w:p>
      <w:pPr>
        <w:jc w:val="center"/>
        <w:rPr>
          <w:rFonts w:hint="default" w:ascii="Times New Roman" w:hAnsi="Times New Roman" w:eastAsia="黑体" w:cs="Times New Roman"/>
          <w:color w:val="auto"/>
          <w:sz w:val="32"/>
          <w:szCs w:val="32"/>
          <w:highlight w:val="none"/>
        </w:rPr>
      </w:pPr>
    </w:p>
    <w:p>
      <w:pPr>
        <w:jc w:val="center"/>
        <w:rPr>
          <w:rFonts w:hint="default" w:ascii="Times New Roman" w:hAnsi="Times New Roman" w:eastAsia="黑体" w:cs="Times New Roman"/>
          <w:color w:val="auto"/>
          <w:sz w:val="32"/>
          <w:szCs w:val="32"/>
          <w:highlight w:val="none"/>
        </w:rPr>
      </w:pPr>
    </w:p>
    <w:p>
      <w:pPr>
        <w:jc w:val="center"/>
        <w:rPr>
          <w:rFonts w:hint="default" w:ascii="Times New Roman" w:hAnsi="Times New Roman" w:eastAsia="黑体" w:cs="Times New Roman"/>
          <w:color w:val="auto"/>
          <w:sz w:val="32"/>
          <w:szCs w:val="32"/>
          <w:highlight w:val="none"/>
        </w:rPr>
      </w:pPr>
    </w:p>
    <w:p>
      <w:pPr>
        <w:spacing w:line="600" w:lineRule="exact"/>
        <w:jc w:val="center"/>
        <w:rPr>
          <w:rFonts w:hint="default" w:ascii="Times New Roman" w:hAnsi="Times New Roman" w:eastAsia="仿宋_GB2312" w:cs="Times New Roman"/>
          <w:color w:val="auto"/>
          <w:sz w:val="32"/>
          <w:szCs w:val="32"/>
          <w:highlight w:val="none"/>
          <w:u w:val="single"/>
        </w:rPr>
      </w:pPr>
      <w:r>
        <w:rPr>
          <w:rFonts w:hint="default" w:ascii="Times New Roman" w:hAnsi="Times New Roman" w:eastAsia="仿宋_GB2312" w:cs="Times New Roman"/>
          <w:color w:val="auto"/>
          <w:sz w:val="32"/>
          <w:szCs w:val="32"/>
          <w:highlight w:val="none"/>
        </w:rPr>
        <w:t>部门（单位）名称：</w:t>
      </w:r>
      <w:r>
        <w:rPr>
          <w:rFonts w:hint="default" w:ascii="Times New Roman" w:hAnsi="Times New Roman" w:eastAsia="仿宋_GB2312" w:cs="Times New Roman"/>
          <w:color w:val="auto"/>
          <w:sz w:val="32"/>
          <w:szCs w:val="32"/>
          <w:highlight w:val="none"/>
          <w:u w:val="single"/>
        </w:rPr>
        <w:t>（盖章）</w:t>
      </w:r>
    </w:p>
    <w:p>
      <w:pPr>
        <w:spacing w:line="600" w:lineRule="exact"/>
        <w:jc w:val="center"/>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年  月  日</w:t>
      </w:r>
    </w:p>
    <w:p>
      <w:pPr>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（此页为封面）</w:t>
      </w:r>
    </w:p>
    <w:p>
      <w:pPr>
        <w:jc w:val="center"/>
        <w:rPr>
          <w:rFonts w:hint="eastAsia" w:ascii="方正小标宋简体" w:hAnsi="方正小标宋简体" w:eastAsia="方正小标宋简体" w:cs="方正小标宋简体"/>
          <w:color w:val="auto"/>
          <w:sz w:val="44"/>
          <w:szCs w:val="44"/>
          <w:highlight w:val="none"/>
        </w:rPr>
      </w:pPr>
      <w:r>
        <w:rPr>
          <w:rFonts w:hint="default" w:ascii="Times New Roman" w:hAnsi="Times New Roman" w:eastAsia="仿宋_GB2312" w:cs="Times New Roman"/>
          <w:color w:val="auto"/>
          <w:sz w:val="32"/>
          <w:szCs w:val="32"/>
          <w:highlight w:val="none"/>
        </w:rPr>
        <w:br w:type="page"/>
      </w:r>
      <w:r>
        <w:rPr>
          <w:rFonts w:hint="eastAsia" w:ascii="方正小标宋简体" w:hAnsi="方正小标宋简体" w:eastAsia="方正小标宋简体" w:cs="方正小标宋简体"/>
          <w:color w:val="auto"/>
          <w:sz w:val="44"/>
          <w:szCs w:val="44"/>
          <w:highlight w:val="none"/>
        </w:rPr>
        <w:t>202</w:t>
      </w:r>
      <w:r>
        <w:rPr>
          <w:rFonts w:hint="eastAsia" w:ascii="方正小标宋简体" w:hAnsi="方正小标宋简体" w:eastAsia="方正小标宋简体" w:cs="方正小标宋简体"/>
          <w:color w:val="auto"/>
          <w:sz w:val="44"/>
          <w:szCs w:val="44"/>
          <w:highlight w:val="none"/>
          <w:lang w:val="en-US" w:eastAsia="zh-CN"/>
        </w:rPr>
        <w:t>3</w:t>
      </w:r>
      <w:r>
        <w:rPr>
          <w:rFonts w:hint="eastAsia" w:ascii="方正小标宋简体" w:hAnsi="方正小标宋简体" w:eastAsia="方正小标宋简体" w:cs="方正小标宋简体"/>
          <w:color w:val="auto"/>
          <w:sz w:val="44"/>
          <w:szCs w:val="44"/>
          <w:highlight w:val="none"/>
        </w:rPr>
        <w:t>年度岳阳市农业综合行政执法支队</w:t>
      </w:r>
    </w:p>
    <w:p>
      <w:pPr>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auto"/>
          <w:sz w:val="32"/>
          <w:szCs w:val="32"/>
          <w:highlight w:val="none"/>
        </w:rPr>
      </w:pP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一、单位基本情况</w:t>
      </w:r>
    </w:p>
    <w:p>
      <w:pPr>
        <w:keepNext w:val="0"/>
        <w:keepLines w:val="0"/>
        <w:pageBreakBefore w:val="0"/>
        <w:kinsoku/>
        <w:wordWrap/>
        <w:overflowPunct/>
        <w:topLinePunct w:val="0"/>
        <w:autoSpaceDE/>
        <w:autoSpaceDN/>
        <w:bidi w:val="0"/>
        <w:adjustRightInd/>
        <w:snapToGrid/>
        <w:spacing w:line="640" w:lineRule="exact"/>
        <w:ind w:firstLine="643" w:firstLineChars="200"/>
        <w:jc w:val="both"/>
        <w:textAlignment w:val="auto"/>
        <w:rPr>
          <w:rFonts w:hint="eastAsia" w:ascii="仿宋_GB2312" w:hAnsi="仿宋_GB2312" w:eastAsia="仿宋_GB2312" w:cs="Times New Roman"/>
          <w:color w:val="auto"/>
          <w:sz w:val="32"/>
        </w:rPr>
      </w:pPr>
      <w:r>
        <w:rPr>
          <w:rFonts w:hint="eastAsia" w:ascii="Times New Roman" w:hAnsi="Times New Roman" w:eastAsia="楷体_GB2312" w:cs="Times New Roman"/>
          <w:b/>
          <w:color w:val="auto"/>
          <w:kern w:val="0"/>
          <w:sz w:val="32"/>
          <w:szCs w:val="32"/>
          <w:highlight w:val="none"/>
          <w:lang w:val="en-US" w:eastAsia="zh-CN" w:bidi="ar-SA"/>
        </w:rPr>
        <w:t>（一）职能职责</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rPr>
      </w:pPr>
      <w:r>
        <w:rPr>
          <w:rFonts w:hint="eastAsia" w:ascii="仿宋_GB2312" w:hAnsi="仿宋_GB2312" w:eastAsia="仿宋_GB2312" w:cs="Times New Roman"/>
          <w:color w:val="auto"/>
          <w:sz w:val="32"/>
        </w:rPr>
        <w:t>1、贯彻执行国家有关农业农村方面的法律、法规、规章和政策规定；代拟全市农业综合行政执法工作方面的规范性文件、总体规划和年度计划，并组织实施。</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rPr>
      </w:pPr>
      <w:r>
        <w:rPr>
          <w:rFonts w:hint="eastAsia" w:ascii="仿宋_GB2312" w:hAnsi="仿宋_GB2312" w:eastAsia="仿宋_GB2312" w:cs="Times New Roman"/>
          <w:color w:val="auto"/>
          <w:sz w:val="32"/>
        </w:rPr>
        <w:t>2、依法行使法律、法规、规章赋予的农业行政处罚权以及与行政处罚相关的行政检查、行政强制权等行政执法职能，具体承担岳阳经济技术开发区、城陵矶新港区、南湖新区范围内农业综合行政执法工作。</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rPr>
      </w:pPr>
      <w:r>
        <w:rPr>
          <w:rFonts w:hint="eastAsia" w:ascii="仿宋_GB2312" w:hAnsi="仿宋_GB2312" w:eastAsia="仿宋_GB2312" w:cs="Times New Roman"/>
          <w:color w:val="auto"/>
          <w:sz w:val="32"/>
        </w:rPr>
        <w:t>3、负责全市农业重大复杂违法案件和跨县(市、区）违法案件的查处；组织或配合农业联合执法行动；依法查处上级交办、相关部门移交、下级移送及群众投诉举报的违法案件。</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rPr>
      </w:pPr>
      <w:r>
        <w:rPr>
          <w:rFonts w:hint="eastAsia" w:ascii="仿宋_GB2312" w:hAnsi="仿宋_GB2312" w:eastAsia="仿宋_GB2312" w:cs="Times New Roman"/>
          <w:color w:val="auto"/>
          <w:sz w:val="32"/>
        </w:rPr>
        <w:t>4、负责对县（市、区）农业综合行政执法工作进行指导、协调、监督和考核。</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rPr>
      </w:pPr>
      <w:r>
        <w:rPr>
          <w:rFonts w:hint="eastAsia" w:ascii="仿宋_GB2312" w:hAnsi="仿宋_GB2312" w:eastAsia="仿宋_GB2312" w:cs="Times New Roman"/>
          <w:color w:val="auto"/>
          <w:sz w:val="32"/>
        </w:rPr>
        <w:t>5、负责农业行政执法和刑事司法工作衔接，移送涉嫌犯罪案件。</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rPr>
      </w:pPr>
      <w:r>
        <w:rPr>
          <w:rFonts w:hint="eastAsia" w:ascii="仿宋_GB2312" w:hAnsi="仿宋_GB2312" w:eastAsia="仿宋_GB2312" w:cs="Times New Roman"/>
          <w:color w:val="auto"/>
          <w:sz w:val="32"/>
        </w:rPr>
        <w:t>6、指导全市农业投入品市场诚信体系建设工作；负责组织全市农业综合行政执法方面法律法规宣传和培训工作。</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color w:val="auto"/>
          <w:sz w:val="32"/>
          <w:szCs w:val="32"/>
        </w:rPr>
      </w:pPr>
      <w:r>
        <w:rPr>
          <w:rFonts w:hint="eastAsia" w:ascii="仿宋_GB2312" w:hAnsi="仿宋_GB2312" w:eastAsia="仿宋_GB2312" w:cs="Times New Roman"/>
          <w:color w:val="auto"/>
          <w:sz w:val="32"/>
        </w:rPr>
        <w:t>7、承担上级交办的其他工作。</w:t>
      </w:r>
    </w:p>
    <w:p>
      <w:pPr>
        <w:numPr>
          <w:ilvl w:val="0"/>
          <w:numId w:val="2"/>
        </w:numPr>
        <w:spacing w:line="600" w:lineRule="exact"/>
        <w:ind w:firstLine="643" w:firstLineChars="200"/>
        <w:rPr>
          <w:rFonts w:hint="eastAsia" w:ascii="Times New Roman" w:hAnsi="Times New Roman" w:eastAsia="楷体_GB2312" w:cs="Times New Roman"/>
          <w:b/>
          <w:color w:val="auto"/>
          <w:kern w:val="0"/>
          <w:sz w:val="32"/>
          <w:szCs w:val="32"/>
          <w:highlight w:val="none"/>
          <w:lang w:val="en-US" w:eastAsia="zh-CN" w:bidi="ar-SA"/>
        </w:rPr>
      </w:pPr>
      <w:r>
        <w:rPr>
          <w:rFonts w:hint="eastAsia" w:ascii="Times New Roman" w:hAnsi="Times New Roman" w:eastAsia="楷体_GB2312" w:cs="Times New Roman"/>
          <w:b/>
          <w:color w:val="auto"/>
          <w:kern w:val="0"/>
          <w:sz w:val="32"/>
          <w:szCs w:val="32"/>
          <w:highlight w:val="none"/>
          <w:lang w:val="en-US" w:eastAsia="zh-CN" w:bidi="ar-SA"/>
        </w:rPr>
        <w:t>机构设置</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Times New Roman"/>
          <w:color w:val="auto"/>
          <w:sz w:val="32"/>
          <w:lang w:val="en-US" w:eastAsia="zh-CN"/>
        </w:rPr>
      </w:pPr>
      <w:r>
        <w:rPr>
          <w:rFonts w:hint="eastAsia" w:ascii="仿宋_GB2312" w:hAnsi="仿宋_GB2312" w:eastAsia="仿宋_GB2312" w:cs="Times New Roman"/>
          <w:color w:val="auto"/>
          <w:sz w:val="32"/>
          <w:lang w:eastAsia="zh-CN"/>
        </w:rPr>
        <w:t>根据岳编发</w:t>
      </w:r>
      <w:r>
        <w:rPr>
          <w:rFonts w:hint="eastAsia" w:ascii="仿宋_GB2312" w:hAnsi="仿宋_GB2312" w:eastAsia="仿宋_GB2312" w:cs="Times New Roman"/>
          <w:color w:val="auto"/>
          <w:sz w:val="32"/>
        </w:rPr>
        <w:t>〔</w:t>
      </w:r>
      <w:r>
        <w:rPr>
          <w:rFonts w:hint="eastAsia" w:ascii="仿宋_GB2312" w:hAnsi="仿宋_GB2312" w:eastAsia="仿宋_GB2312" w:cs="Times New Roman"/>
          <w:color w:val="auto"/>
          <w:sz w:val="32"/>
          <w:lang w:val="en-US" w:eastAsia="zh-CN"/>
        </w:rPr>
        <w:t>2020</w:t>
      </w:r>
      <w:r>
        <w:rPr>
          <w:rFonts w:hint="eastAsia" w:ascii="仿宋_GB2312" w:hAnsi="仿宋_GB2312" w:eastAsia="仿宋_GB2312" w:cs="Times New Roman"/>
          <w:color w:val="auto"/>
          <w:sz w:val="32"/>
        </w:rPr>
        <w:t>〕</w:t>
      </w:r>
      <w:r>
        <w:rPr>
          <w:rFonts w:hint="eastAsia" w:ascii="仿宋_GB2312" w:hAnsi="仿宋_GB2312" w:eastAsia="仿宋_GB2312" w:cs="Times New Roman"/>
          <w:color w:val="auto"/>
          <w:sz w:val="32"/>
          <w:lang w:val="en-US" w:eastAsia="zh-CN"/>
        </w:rPr>
        <w:t>5</w:t>
      </w:r>
      <w:r>
        <w:rPr>
          <w:rFonts w:hint="eastAsia" w:ascii="仿宋_GB2312" w:hAnsi="仿宋_GB2312" w:eastAsia="仿宋_GB2312" w:cs="Times New Roman"/>
          <w:color w:val="auto"/>
          <w:sz w:val="32"/>
        </w:rPr>
        <w:t>号</w:t>
      </w:r>
      <w:r>
        <w:rPr>
          <w:rFonts w:hint="eastAsia" w:ascii="仿宋_GB2312" w:hAnsi="仿宋_GB2312" w:eastAsia="仿宋_GB2312" w:cs="Times New Roman"/>
          <w:color w:val="auto"/>
          <w:sz w:val="32"/>
          <w:lang w:eastAsia="zh-CN"/>
        </w:rPr>
        <w:t>核定，我支队为市农业农村局管理的副处级事业单位，内设</w:t>
      </w:r>
      <w:r>
        <w:rPr>
          <w:rFonts w:hint="eastAsia" w:ascii="仿宋_GB2312" w:hAnsi="仿宋_GB2312" w:eastAsia="仿宋_GB2312" w:cs="Times New Roman"/>
          <w:color w:val="auto"/>
          <w:sz w:val="32"/>
          <w:lang w:val="en-US" w:eastAsia="zh-CN"/>
        </w:rPr>
        <w:t>三个</w:t>
      </w:r>
      <w:r>
        <w:rPr>
          <w:rFonts w:hint="eastAsia" w:ascii="仿宋_GB2312" w:hAnsi="仿宋_GB2312" w:eastAsia="仿宋_GB2312" w:cs="Times New Roman"/>
          <w:color w:val="auto"/>
          <w:sz w:val="32"/>
          <w:lang w:eastAsia="zh-CN"/>
        </w:rPr>
        <w:t>科室，六</w:t>
      </w:r>
      <w:r>
        <w:rPr>
          <w:rFonts w:hint="eastAsia" w:ascii="仿宋_GB2312" w:hAnsi="仿宋_GB2312" w:eastAsia="仿宋_GB2312" w:cs="Times New Roman"/>
          <w:color w:val="auto"/>
          <w:sz w:val="32"/>
          <w:lang w:val="en-US" w:eastAsia="zh-CN"/>
        </w:rPr>
        <w:t>个大队。</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lang w:val="en-US" w:eastAsia="zh-CN"/>
        </w:rPr>
      </w:pPr>
      <w:r>
        <w:rPr>
          <w:rFonts w:hint="eastAsia" w:ascii="仿宋_GB2312" w:hAnsi="仿宋_GB2312" w:eastAsia="仿宋_GB2312" w:cs="Times New Roman"/>
          <w:color w:val="auto"/>
          <w:sz w:val="32"/>
          <w:lang w:val="en-US" w:eastAsia="zh-CN"/>
        </w:rPr>
        <w:t>1、三个科室为综合科、党委办、政策宣教科，规格为副科级。</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Times New Roman"/>
          <w:color w:val="auto"/>
          <w:sz w:val="32"/>
          <w:lang w:val="en-US" w:eastAsia="zh-CN"/>
        </w:rPr>
      </w:pPr>
      <w:r>
        <w:rPr>
          <w:rFonts w:hint="eastAsia" w:ascii="仿宋_GB2312" w:hAnsi="仿宋_GB2312" w:eastAsia="仿宋_GB2312" w:cs="Times New Roman"/>
          <w:color w:val="auto"/>
          <w:sz w:val="32"/>
          <w:lang w:val="en-US" w:eastAsia="zh-CN"/>
        </w:rPr>
        <w:t>2、六个大队分别为法制大队、直属一大队、直属二大队、直属三大队、直属四大队、直属五大队，规格为正科级。</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Times New Roman"/>
          <w:color w:val="auto"/>
          <w:sz w:val="32"/>
        </w:rPr>
      </w:pPr>
      <w:r>
        <w:rPr>
          <w:rFonts w:hint="eastAsia" w:ascii="仿宋_GB2312" w:hAnsi="仿宋_GB2312" w:eastAsia="仿宋_GB2312" w:cs="Times New Roman"/>
          <w:color w:val="auto"/>
          <w:sz w:val="32"/>
          <w:lang w:val="en-US" w:eastAsia="zh-CN"/>
        </w:rPr>
        <w:t>截至2023年12月31日，</w:t>
      </w:r>
      <w:r>
        <w:rPr>
          <w:rFonts w:hint="eastAsia" w:ascii="仿宋_GB2312" w:hAnsi="仿宋_GB2312" w:eastAsia="仿宋_GB2312" w:cs="仿宋_GB2312"/>
          <w:color w:val="auto"/>
          <w:sz w:val="32"/>
          <w:szCs w:val="32"/>
        </w:rPr>
        <w:t>核定编制60名，其中支队长1名副支队长4名，正科级纪检员1名</w:t>
      </w:r>
      <w:r>
        <w:rPr>
          <w:rFonts w:hint="eastAsia" w:ascii="仿宋_GB2312" w:hAnsi="仿宋_GB2312" w:eastAsia="仿宋_GB2312" w:cs="仿宋_GB2312"/>
          <w:color w:val="auto"/>
          <w:sz w:val="32"/>
          <w:szCs w:val="32"/>
          <w:lang w:eastAsia="zh-CN"/>
        </w:rPr>
        <w:t>。现</w:t>
      </w:r>
      <w:r>
        <w:rPr>
          <w:rFonts w:hint="eastAsia" w:ascii="仿宋_GB2312" w:hAnsi="仿宋_GB2312" w:eastAsia="仿宋_GB2312" w:cs="Times New Roman"/>
          <w:color w:val="auto"/>
          <w:sz w:val="32"/>
          <w:lang w:val="en-US" w:eastAsia="zh-CN"/>
        </w:rPr>
        <w:t>有在编人员40人，离退休人员33人。</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二、一般公共预算支出情况</w:t>
      </w:r>
    </w:p>
    <w:p>
      <w:pPr>
        <w:pStyle w:val="10"/>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color w:val="auto"/>
          <w:sz w:val="32"/>
          <w:szCs w:val="32"/>
          <w:highlight w:val="none"/>
        </w:rPr>
      </w:pPr>
      <w:r>
        <w:rPr>
          <w:rFonts w:hint="default" w:ascii="Times New Roman" w:hAnsi="Times New Roman" w:eastAsia="楷体_GB2312" w:cs="Times New Roman"/>
          <w:b/>
          <w:color w:val="auto"/>
          <w:sz w:val="32"/>
          <w:szCs w:val="32"/>
          <w:highlight w:val="none"/>
        </w:rPr>
        <w:t>（一）基本支出情况</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color w:val="auto"/>
          <w:sz w:val="32"/>
          <w:szCs w:val="32"/>
          <w:highlight w:val="none"/>
        </w:rPr>
      </w:pPr>
      <w:r>
        <w:rPr>
          <w:rFonts w:hint="eastAsia" w:ascii="仿宋_GB2312" w:hAnsi="仿宋_GB2312" w:eastAsia="仿宋_GB2312" w:cs="仿宋_GB2312"/>
          <w:color w:val="auto"/>
          <w:spacing w:val="0"/>
          <w:position w:val="0"/>
          <w:sz w:val="32"/>
          <w:szCs w:val="32"/>
          <w:lang w:val="en-US" w:eastAsia="zh-CN"/>
        </w:rPr>
        <w:t>2023年基本支出预算数742.70万元，实际支出决算数839.98万元。其中：人员经费770.69万元，主要包括：基本工资、津贴补贴、奖金、伙食补助、绩效工资、机关事业单位基本养老保险缴费、职工基本医疗保险缴费、其他社会保障缴费、住房公积金等；离休费、退休费、医疗费补助、其他对个人和家庭的补助；公用经费69.29万元，主要包括：办公费、水费、电费、邮电费、物业管理费、会议费、公务接待费、工会经费、福利费、公务用车运行维护费、其他交通费用、其他商品和服务支出。</w:t>
      </w:r>
    </w:p>
    <w:p>
      <w:pPr>
        <w:pStyle w:val="10"/>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color w:val="auto"/>
          <w:sz w:val="32"/>
          <w:szCs w:val="32"/>
          <w:highlight w:val="none"/>
        </w:rPr>
      </w:pPr>
      <w:r>
        <w:rPr>
          <w:rFonts w:hint="default" w:ascii="Times New Roman" w:hAnsi="Times New Roman" w:eastAsia="楷体_GB2312" w:cs="Times New Roman"/>
          <w:b/>
          <w:color w:val="auto"/>
          <w:sz w:val="32"/>
          <w:szCs w:val="32"/>
          <w:highlight w:val="none"/>
        </w:rPr>
        <w:t>（二）项目支出情况</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2023年项目支出预算数18.8万元，实际支出决算数533.91万元，用于业务工作经费347.92万元，农业综合执法及禁捕退捕专项179.69万元，水产品质量安全监管6.30万元。</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三、政府性基金预算支出情况</w:t>
      </w:r>
    </w:p>
    <w:p>
      <w:pPr>
        <w:pStyle w:val="10"/>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eastAsia" w:ascii="FangSong_GB2312" w:hAnsi="FangSong_GB2312" w:eastAsia="FangSong_GB2312" w:cs="FangSong_GB2312"/>
          <w:color w:val="auto"/>
          <w:sz w:val="32"/>
          <w:szCs w:val="32"/>
        </w:rPr>
        <w:t>202</w:t>
      </w:r>
      <w:r>
        <w:rPr>
          <w:rFonts w:hint="eastAsia" w:ascii="FangSong_GB2312" w:hAnsi="FangSong_GB2312" w:eastAsia="FangSong_GB2312" w:cs="FangSong_GB2312"/>
          <w:color w:val="auto"/>
          <w:sz w:val="32"/>
          <w:szCs w:val="32"/>
          <w:lang w:val="en-US" w:eastAsia="zh-CN"/>
        </w:rPr>
        <w:t>3</w:t>
      </w:r>
      <w:r>
        <w:rPr>
          <w:rFonts w:hint="eastAsia" w:ascii="FangSong_GB2312" w:hAnsi="FangSong_GB2312" w:eastAsia="FangSong_GB2312" w:cs="FangSong_GB2312"/>
          <w:color w:val="auto"/>
          <w:sz w:val="32"/>
          <w:szCs w:val="32"/>
        </w:rPr>
        <w:t>年度本单位无政府性基金安排的支出。</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四、国有资本经营预算支出情况</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eastAsia" w:ascii="FangSong_GB2312" w:hAnsi="FangSong_GB2312" w:eastAsia="FangSong_GB2312" w:cs="FangSong_GB2312"/>
          <w:color w:val="auto"/>
          <w:sz w:val="32"/>
          <w:szCs w:val="32"/>
        </w:rPr>
        <w:t>202</w:t>
      </w:r>
      <w:r>
        <w:rPr>
          <w:rFonts w:hint="eastAsia" w:ascii="FangSong_GB2312" w:hAnsi="FangSong_GB2312" w:eastAsia="FangSong_GB2312" w:cs="FangSong_GB2312"/>
          <w:color w:val="auto"/>
          <w:sz w:val="32"/>
          <w:szCs w:val="32"/>
          <w:lang w:val="en-US" w:eastAsia="zh-CN"/>
        </w:rPr>
        <w:t>3</w:t>
      </w:r>
      <w:r>
        <w:rPr>
          <w:rFonts w:hint="eastAsia" w:ascii="FangSong_GB2312" w:hAnsi="FangSong_GB2312" w:eastAsia="FangSong_GB2312" w:cs="FangSong_GB2312"/>
          <w:color w:val="auto"/>
          <w:sz w:val="32"/>
          <w:szCs w:val="32"/>
        </w:rPr>
        <w:t>年度本单位无国有资本经营预算支出。</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五、社会保险基金预算支出情况</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eastAsia" w:ascii="FangSong_GB2312" w:hAnsi="FangSong_GB2312" w:eastAsia="FangSong_GB2312" w:cs="FangSong_GB2312"/>
          <w:color w:val="auto"/>
          <w:sz w:val="32"/>
          <w:szCs w:val="32"/>
        </w:rPr>
        <w:t>202</w:t>
      </w:r>
      <w:r>
        <w:rPr>
          <w:rFonts w:hint="eastAsia" w:ascii="FangSong_GB2312" w:hAnsi="FangSong_GB2312" w:eastAsia="FangSong_GB2312" w:cs="FangSong_GB2312"/>
          <w:color w:val="auto"/>
          <w:sz w:val="32"/>
          <w:szCs w:val="32"/>
          <w:lang w:val="en-US" w:eastAsia="zh-CN"/>
        </w:rPr>
        <w:t>3</w:t>
      </w:r>
      <w:r>
        <w:rPr>
          <w:rFonts w:hint="eastAsia" w:ascii="FangSong_GB2312" w:hAnsi="FangSong_GB2312" w:eastAsia="FangSong_GB2312" w:cs="FangSong_GB2312"/>
          <w:color w:val="auto"/>
          <w:sz w:val="32"/>
          <w:szCs w:val="32"/>
        </w:rPr>
        <w:t>年度本单位无社会保险基金预算支出。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六、部门整体支出绩效情况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单位各项项目资金其主要用途是确保单位的正常运转，促进各项工作任务顺利完成。在人员经费支出、公共支出严格执行区委区政府的各项制度；在项目经费的使用上，在保证各项任务顺利完成的同时，严格落实厉行节约的原则；三公经费的使用严格控制在预算申报的范围内。</w:t>
      </w:r>
    </w:p>
    <w:p>
      <w:pPr>
        <w:widowControl/>
        <w:spacing w:line="640" w:lineRule="exact"/>
        <w:ind w:firstLine="640" w:firstLineChars="200"/>
        <w:rPr>
          <w:rFonts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highlight w:val="none"/>
        </w:rPr>
        <w:t>严格预算支出管理。</w:t>
      </w:r>
      <w:r>
        <w:rPr>
          <w:rFonts w:ascii="仿宋_GB2312" w:hAnsi="仿宋_GB2312" w:eastAsia="仿宋_GB2312" w:cs="仿宋_GB2312"/>
          <w:color w:val="auto"/>
          <w:sz w:val="32"/>
          <w:szCs w:val="32"/>
        </w:rPr>
        <w:t>在支出预算编制上，根据“总量控制、计划管理”的要求从严控制</w:t>
      </w:r>
      <w:r>
        <w:rPr>
          <w:rFonts w:hint="eastAsia" w:ascii="仿宋_GB2312" w:hAnsi="仿宋_GB2312" w:eastAsia="仿宋_GB2312" w:cs="仿宋_GB2312"/>
          <w:color w:val="auto"/>
          <w:sz w:val="32"/>
          <w:szCs w:val="32"/>
        </w:rPr>
        <w:t>工作</w:t>
      </w:r>
      <w:r>
        <w:rPr>
          <w:rFonts w:ascii="仿宋_GB2312" w:hAnsi="仿宋_GB2312" w:eastAsia="仿宋_GB2312" w:cs="仿宋_GB2312"/>
          <w:color w:val="auto"/>
          <w:sz w:val="32"/>
          <w:szCs w:val="32"/>
        </w:rPr>
        <w:t>经费</w:t>
      </w:r>
      <w:r>
        <w:rPr>
          <w:rFonts w:hint="eastAsia" w:ascii="仿宋_GB2312" w:hAnsi="仿宋_GB2312" w:eastAsia="仿宋_GB2312" w:cs="仿宋_GB2312"/>
          <w:color w:val="auto"/>
          <w:sz w:val="32"/>
          <w:szCs w:val="32"/>
        </w:rPr>
        <w:t>一般性支出</w:t>
      </w:r>
      <w:r>
        <w:rPr>
          <w:rFonts w:ascii="仿宋_GB2312" w:hAnsi="仿宋_GB2312" w:eastAsia="仿宋_GB2312" w:cs="仿宋_GB2312"/>
          <w:color w:val="auto"/>
          <w:sz w:val="32"/>
          <w:szCs w:val="32"/>
        </w:rPr>
        <w:t>，压缩公务费开支，严格控制“三公”经费，严格</w:t>
      </w:r>
      <w:r>
        <w:rPr>
          <w:rFonts w:hint="eastAsia" w:ascii="仿宋_GB2312" w:hAnsi="仿宋_GB2312" w:eastAsia="仿宋_GB2312" w:cs="仿宋_GB2312"/>
          <w:color w:val="auto"/>
          <w:sz w:val="32"/>
          <w:szCs w:val="32"/>
        </w:rPr>
        <w:t>按</w:t>
      </w:r>
      <w:r>
        <w:rPr>
          <w:rFonts w:ascii="仿宋_GB2312" w:hAnsi="仿宋_GB2312" w:eastAsia="仿宋_GB2312" w:cs="仿宋_GB2312"/>
          <w:color w:val="auto"/>
          <w:sz w:val="32"/>
          <w:szCs w:val="32"/>
        </w:rPr>
        <w:t>资产配置</w:t>
      </w:r>
      <w:r>
        <w:rPr>
          <w:rFonts w:hint="eastAsia" w:ascii="仿宋_GB2312" w:hAnsi="仿宋_GB2312" w:eastAsia="仿宋_GB2312" w:cs="仿宋_GB2312"/>
          <w:color w:val="auto"/>
          <w:sz w:val="32"/>
          <w:szCs w:val="32"/>
        </w:rPr>
        <w:t>标准和审批开展</w:t>
      </w:r>
      <w:r>
        <w:rPr>
          <w:rFonts w:ascii="仿宋_GB2312" w:hAnsi="仿宋_GB2312" w:eastAsia="仿宋_GB2312" w:cs="仿宋_GB2312"/>
          <w:color w:val="auto"/>
          <w:sz w:val="32"/>
          <w:szCs w:val="32"/>
        </w:rPr>
        <w:t>政府采购，按照预算科目和</w:t>
      </w:r>
      <w:r>
        <w:rPr>
          <w:rFonts w:hint="eastAsia" w:ascii="仿宋_GB2312" w:hAnsi="仿宋_GB2312" w:eastAsia="仿宋_GB2312" w:cs="仿宋_GB2312"/>
          <w:color w:val="auto"/>
          <w:sz w:val="32"/>
          <w:szCs w:val="32"/>
        </w:rPr>
        <w:t>专项</w:t>
      </w:r>
      <w:r>
        <w:rPr>
          <w:rFonts w:ascii="仿宋_GB2312" w:hAnsi="仿宋_GB2312" w:eastAsia="仿宋_GB2312" w:cs="仿宋_GB2312"/>
          <w:color w:val="auto"/>
          <w:sz w:val="32"/>
          <w:szCs w:val="32"/>
        </w:rPr>
        <w:t>项目资金</w:t>
      </w:r>
      <w:r>
        <w:rPr>
          <w:rFonts w:hint="eastAsia" w:ascii="仿宋_GB2312" w:hAnsi="仿宋_GB2312" w:eastAsia="仿宋_GB2312" w:cs="仿宋_GB2312"/>
          <w:color w:val="auto"/>
          <w:sz w:val="32"/>
          <w:szCs w:val="32"/>
        </w:rPr>
        <w:t>有关</w:t>
      </w:r>
      <w:r>
        <w:rPr>
          <w:rFonts w:ascii="仿宋_GB2312" w:hAnsi="仿宋_GB2312" w:eastAsia="仿宋_GB2312" w:cs="仿宋_GB2312"/>
          <w:color w:val="auto"/>
          <w:sz w:val="32"/>
          <w:szCs w:val="32"/>
        </w:rPr>
        <w:t>规定使用财政资金，保障部门整体支出的规范化、制度化。</w:t>
      </w:r>
    </w:p>
    <w:p>
      <w:pPr>
        <w:pStyle w:val="6"/>
        <w:ind w:left="0" w:leftChars="0" w:firstLine="640" w:firstLineChars="200"/>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加强财务管理。按照</w:t>
      </w:r>
      <w:r>
        <w:rPr>
          <w:rFonts w:ascii="仿宋_GB2312" w:hAnsi="仿宋_GB2312" w:eastAsia="仿宋_GB2312" w:cs="仿宋_GB2312"/>
          <w:color w:val="auto"/>
          <w:kern w:val="0"/>
          <w:sz w:val="32"/>
          <w:szCs w:val="32"/>
          <w:lang w:val="en-US" w:eastAsia="zh-CN" w:bidi="ar-SA"/>
        </w:rPr>
        <w:t>国家法律法规，制定了</w:t>
      </w:r>
      <w:r>
        <w:rPr>
          <w:rFonts w:hint="eastAsia" w:ascii="仿宋_GB2312" w:hAnsi="仿宋_GB2312" w:eastAsia="仿宋_GB2312" w:cs="仿宋_GB2312"/>
          <w:color w:val="auto"/>
          <w:kern w:val="0"/>
          <w:sz w:val="32"/>
          <w:szCs w:val="32"/>
          <w:lang w:val="en-US" w:eastAsia="zh-CN" w:bidi="ar-SA"/>
        </w:rPr>
        <w:t>单位</w:t>
      </w:r>
      <w:r>
        <w:rPr>
          <w:rFonts w:ascii="仿宋_GB2312" w:hAnsi="仿宋_GB2312" w:eastAsia="仿宋_GB2312" w:cs="仿宋_GB2312"/>
          <w:color w:val="auto"/>
          <w:kern w:val="0"/>
          <w:sz w:val="32"/>
          <w:szCs w:val="32"/>
          <w:lang w:val="en-US" w:eastAsia="zh-CN" w:bidi="ar-SA"/>
        </w:rPr>
        <w:t>财务、接待、</w:t>
      </w:r>
      <w:r>
        <w:rPr>
          <w:rFonts w:hint="eastAsia" w:ascii="仿宋_GB2312" w:hAnsi="仿宋_GB2312" w:eastAsia="仿宋_GB2312" w:cs="仿宋_GB2312"/>
          <w:color w:val="auto"/>
          <w:kern w:val="0"/>
          <w:sz w:val="32"/>
          <w:szCs w:val="32"/>
          <w:lang w:val="en-US" w:eastAsia="zh-CN" w:bidi="ar-SA"/>
        </w:rPr>
        <w:t>执法船舶管理</w:t>
      </w:r>
      <w:r>
        <w:rPr>
          <w:rFonts w:ascii="仿宋_GB2312" w:hAnsi="仿宋_GB2312" w:eastAsia="仿宋_GB2312" w:cs="仿宋_GB2312"/>
          <w:color w:val="auto"/>
          <w:kern w:val="0"/>
          <w:sz w:val="32"/>
          <w:szCs w:val="32"/>
          <w:lang w:val="en-US" w:eastAsia="zh-CN" w:bidi="ar-SA"/>
        </w:rPr>
        <w:t>、车辆使用等内部控制制度，并按照制度管理和执行，防范风险，保证财政资金安全和高效运行。</w:t>
      </w:r>
    </w:p>
    <w:p>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（一）预算编制有待加强，存在追加经费较多现象，预算编制的精确性有待进一步提高。</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（二）绩效管理的运用意识有待提高。针对这些不足，我单位将积极采取改进措施，持续改进，不断规范和强化管理。</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八、下一步改进措施</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（一）严格按照《中华人民共和国预算法》及相关制度，根据本单位实际情况并结合以前年度支出情况，综合考虑相关因素，申报年初预算，提高单位预算编制水平。</w:t>
      </w:r>
    </w:p>
    <w:p>
      <w:pPr>
        <w:pStyle w:val="6"/>
        <w:ind w:left="0" w:leftChars="0" w:firstLine="640" w:firstLineChars="200"/>
        <w:rPr>
          <w:rFonts w:hint="eastAsia"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（二）定期对绩效目标执行进度进行监控，及时掌握资金支付进度，确保财政资金发挥效益。</w:t>
      </w:r>
    </w:p>
    <w:p>
      <w:pPr>
        <w:spacing w:line="560" w:lineRule="exact"/>
        <w:ind w:firstLine="640" w:firstLineChars="200"/>
        <w:jc w:val="left"/>
        <w:rPr>
          <w:rFonts w:hint="eastAsia" w:ascii="仿宋_GB2312" w:hAnsi="仿宋_GB2312" w:eastAsia="仿宋_GB2312" w:cs="仿宋_GB2312"/>
          <w:color w:val="auto"/>
          <w:spacing w:val="0"/>
          <w:kern w:val="0"/>
          <w:position w:val="0"/>
          <w:sz w:val="32"/>
          <w:szCs w:val="32"/>
          <w:lang w:val="en-US" w:eastAsia="zh-CN" w:bidi="ar-SA"/>
        </w:rPr>
      </w:pPr>
      <w:r>
        <w:rPr>
          <w:rFonts w:hint="eastAsia" w:ascii="仿宋_GB2312" w:hAnsi="仿宋_GB2312" w:eastAsia="仿宋_GB2312" w:cs="仿宋_GB2312"/>
          <w:color w:val="auto"/>
          <w:spacing w:val="0"/>
          <w:kern w:val="0"/>
          <w:position w:val="0"/>
          <w:sz w:val="32"/>
          <w:szCs w:val="32"/>
          <w:lang w:val="en-US" w:eastAsia="zh-CN" w:bidi="ar-SA"/>
        </w:rPr>
        <w:t>（三）抓队伍建设，促执法效能提升。“打铁还需自身硬”，切实加强农业执法队伍政治建设、作风建设、业务技能建设，努力打造一支政治信念坚定、业务技能娴熟、执法行为规范、人民群众满意的护农铁军。</w:t>
      </w:r>
    </w:p>
    <w:p>
      <w:pPr>
        <w:spacing w:line="560" w:lineRule="exact"/>
        <w:ind w:firstLine="640" w:firstLineChars="200"/>
        <w:jc w:val="left"/>
        <w:rPr>
          <w:rFonts w:hint="eastAsia" w:ascii="仿宋_GB2312" w:hAnsi="仿宋_GB2312" w:eastAsia="仿宋_GB2312" w:cs="仿宋_GB2312"/>
          <w:color w:val="auto"/>
          <w:spacing w:val="0"/>
          <w:kern w:val="0"/>
          <w:position w:val="0"/>
          <w:sz w:val="32"/>
          <w:szCs w:val="32"/>
          <w:lang w:val="en-US" w:eastAsia="zh-CN" w:bidi="ar-SA"/>
        </w:rPr>
      </w:pPr>
      <w:r>
        <w:rPr>
          <w:rFonts w:hint="eastAsia" w:ascii="仿宋_GB2312" w:hAnsi="仿宋_GB2312" w:eastAsia="仿宋_GB2312" w:cs="仿宋_GB2312"/>
          <w:color w:val="auto"/>
          <w:spacing w:val="0"/>
          <w:kern w:val="0"/>
          <w:position w:val="0"/>
          <w:sz w:val="32"/>
          <w:szCs w:val="32"/>
          <w:lang w:val="en-US" w:eastAsia="zh-CN" w:bidi="ar-SA"/>
        </w:rPr>
        <w:t>（四）抓制度落实，促执法规范稳定。制度的生命在于落实。认真落实好行政执法“三项制度”、首违免罚制度，全面推行包容审慎监管执法，推行“有温度执法”，通过规范文明执法，提升农业执法队伍形象。</w:t>
      </w:r>
    </w:p>
    <w:p>
      <w:pPr>
        <w:spacing w:line="560" w:lineRule="exact"/>
        <w:ind w:firstLine="640" w:firstLineChars="200"/>
        <w:jc w:val="left"/>
        <w:rPr>
          <w:rFonts w:hint="eastAsia" w:ascii="仿宋_GB2312" w:hAnsi="仿宋_GB2312" w:eastAsia="仿宋_GB2312" w:cs="仿宋_GB2312"/>
          <w:color w:val="auto"/>
          <w:spacing w:val="0"/>
          <w:kern w:val="0"/>
          <w:position w:val="0"/>
          <w:sz w:val="32"/>
          <w:szCs w:val="32"/>
          <w:lang w:val="en-US" w:eastAsia="zh-CN" w:bidi="ar-SA"/>
        </w:rPr>
      </w:pPr>
      <w:r>
        <w:rPr>
          <w:rFonts w:hint="eastAsia" w:ascii="仿宋_GB2312" w:hAnsi="仿宋_GB2312" w:eastAsia="仿宋_GB2312" w:cs="仿宋_GB2312"/>
          <w:color w:val="auto"/>
          <w:spacing w:val="0"/>
          <w:kern w:val="0"/>
          <w:position w:val="0"/>
          <w:sz w:val="32"/>
          <w:szCs w:val="32"/>
          <w:lang w:val="en-US" w:eastAsia="zh-CN" w:bidi="ar-SA"/>
        </w:rPr>
        <w:t>（五）抓执法办案和宣传，促营商环境优化。紧盯“国之大者”，在粮食安全、生态安全、农产品质量安全等方面开展执法检查和办案。通过常态化开展禁捕执法和宣传，维护良好禁捕秩序。通过执法检查、宣传教育，</w:t>
      </w:r>
      <w:r>
        <w:rPr>
          <w:rFonts w:hint="eastAsia" w:ascii="Times New Roman" w:hAnsi="Times New Roman" w:eastAsia="仿宋_GB2312" w:cs="Times New Roman"/>
          <w:color w:val="auto"/>
          <w:sz w:val="32"/>
          <w:szCs w:val="32"/>
          <w:highlight w:val="none"/>
        </w:rPr>
        <w:t>引导农业</w:t>
      </w:r>
      <w:r>
        <w:rPr>
          <w:rFonts w:hint="eastAsia" w:ascii="Times New Roman" w:hAnsi="Times New Roman" w:eastAsia="仿宋_GB2312" w:cs="Times New Roman"/>
          <w:color w:val="auto"/>
          <w:sz w:val="32"/>
          <w:szCs w:val="32"/>
          <w:highlight w:val="none"/>
          <w:lang w:val="en-US" w:eastAsia="zh-CN"/>
        </w:rPr>
        <w:t>生产</w:t>
      </w:r>
      <w:r>
        <w:rPr>
          <w:rFonts w:hint="eastAsia" w:ascii="Times New Roman" w:hAnsi="Times New Roman" w:eastAsia="仿宋_GB2312" w:cs="Times New Roman"/>
          <w:color w:val="auto"/>
          <w:sz w:val="32"/>
          <w:szCs w:val="32"/>
          <w:highlight w:val="none"/>
        </w:rPr>
        <w:t>经营主体规范经营，</w:t>
      </w:r>
      <w:r>
        <w:rPr>
          <w:rFonts w:hint="eastAsia" w:ascii="Times New Roman" w:hAnsi="Times New Roman" w:eastAsia="仿宋_GB2312" w:cs="Times New Roman"/>
          <w:color w:val="auto"/>
          <w:sz w:val="32"/>
          <w:szCs w:val="32"/>
          <w:highlight w:val="none"/>
          <w:lang w:val="en-US" w:eastAsia="zh-CN"/>
        </w:rPr>
        <w:t>市民群众休闲垂钓时</w:t>
      </w:r>
      <w:r>
        <w:rPr>
          <w:rFonts w:hint="eastAsia" w:ascii="Times New Roman" w:hAnsi="Times New Roman" w:eastAsia="仿宋_GB2312" w:cs="Times New Roman"/>
          <w:color w:val="auto"/>
          <w:sz w:val="32"/>
          <w:szCs w:val="32"/>
          <w:highlight w:val="none"/>
        </w:rPr>
        <w:t>主动遵法守法。通过执法办案，打击假冒伪劣农资产品</w:t>
      </w:r>
      <w:r>
        <w:rPr>
          <w:rFonts w:hint="eastAsia" w:ascii="Times New Roman" w:hAnsi="Times New Roman" w:eastAsia="仿宋_GB2312" w:cs="Times New Roman"/>
          <w:color w:val="auto"/>
          <w:sz w:val="32"/>
          <w:szCs w:val="32"/>
          <w:highlight w:val="none"/>
          <w:lang w:val="en-US" w:eastAsia="zh-CN"/>
        </w:rPr>
        <w:t>销售行为</w:t>
      </w:r>
      <w:r>
        <w:rPr>
          <w:rFonts w:hint="eastAsia" w:ascii="Times New Roman" w:hAnsi="Times New Roman" w:eastAsia="仿宋_GB2312" w:cs="Times New Roman"/>
          <w:color w:val="auto"/>
          <w:sz w:val="32"/>
          <w:szCs w:val="32"/>
          <w:highlight w:val="none"/>
        </w:rPr>
        <w:t>，保护广大农民合法权益，保障有序的农业生产秩序。</w:t>
      </w:r>
    </w:p>
    <w:p>
      <w:pPr>
        <w:pStyle w:val="6"/>
        <w:ind w:left="0" w:leftChars="0" w:firstLine="640" w:firstLineChars="200"/>
        <w:rPr>
          <w:rFonts w:hint="default" w:ascii="仿宋_GB2312" w:hAnsi="仿宋_GB2312" w:eastAsia="仿宋_GB2312" w:cs="仿宋_GB2312"/>
          <w:color w:val="auto"/>
          <w:spacing w:val="0"/>
          <w:kern w:val="0"/>
          <w:position w:val="0"/>
          <w:sz w:val="32"/>
          <w:szCs w:val="32"/>
          <w:lang w:val="en-US" w:eastAsia="zh-CN" w:bidi="ar-SA"/>
        </w:rPr>
      </w:pPr>
      <w:r>
        <w:rPr>
          <w:rFonts w:hint="eastAsia" w:ascii="仿宋_GB2312" w:hAnsi="仿宋_GB2312" w:eastAsia="仿宋_GB2312" w:cs="仿宋_GB2312"/>
          <w:color w:val="auto"/>
          <w:spacing w:val="0"/>
          <w:kern w:val="0"/>
          <w:position w:val="0"/>
          <w:sz w:val="32"/>
          <w:szCs w:val="32"/>
          <w:lang w:val="en-US" w:eastAsia="zh-CN" w:bidi="ar-SA"/>
        </w:rPr>
        <w:t>（六）抓监督考核，促属地责任落实。建立科学考核制度，坚持一季度一讲评。通过考核这个指挥棒，充分调动县市区执法大队的作用。重点是开展好常态化禁捕监督考核，组织好全市跨县市区交叉执法检查。</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九、部门整体支出绩效自评结果拟应用和公开情况</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eastAsia" w:ascii="仿宋_GB2312" w:hAnsi="仿宋_GB2312" w:eastAsia="仿宋_GB2312" w:cs="仿宋_GB2312"/>
          <w:color w:val="auto"/>
          <w:spacing w:val="0"/>
          <w:position w:val="0"/>
          <w:sz w:val="32"/>
          <w:szCs w:val="32"/>
          <w:lang w:val="en-US" w:eastAsia="zh-CN"/>
        </w:rPr>
        <w:t>绩效自评结果可以进一步规范财政资金管理，强化部门绩效和责任意识，切实提高财政资金使用效益，同时编制下一年的部门预算可以参考绩效自评结果，以提高预算编制的精准性。已按相关要求及时进行预决算公开及整体支出绩效自评的公开。</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eastAsia="zh-CN"/>
        </w:rPr>
        <w:t>十、</w:t>
      </w:r>
      <w:r>
        <w:rPr>
          <w:rFonts w:hint="default" w:ascii="Times New Roman" w:hAnsi="Times New Roman" w:eastAsia="黑体" w:cs="Times New Roman"/>
          <w:color w:val="auto"/>
          <w:sz w:val="32"/>
          <w:szCs w:val="32"/>
          <w:highlight w:val="none"/>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无。</w:t>
      </w:r>
    </w:p>
    <w:p>
      <w:pPr>
        <w:pStyle w:val="2"/>
        <w:rPr>
          <w:rFonts w:hint="eastAsia"/>
          <w:lang w:eastAsia="zh-CN"/>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报告需要以下附件：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部门整体支出绩效评价基础数据表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项目支出绩效自评表（一个一级项目支出一张表）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政府性基金预算支出情况表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国有资本经营预算支出情况表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社会保险基金预算支出情况表</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color w:val="auto"/>
          <w:sz w:val="32"/>
          <w:szCs w:val="32"/>
          <w:highlight w:val="none"/>
          <w:lang w:val="en-US" w:eastAsia="zh-CN"/>
        </w:rPr>
      </w:pPr>
      <w:r>
        <w:rPr>
          <w:rFonts w:hint="eastAsia" w:ascii="仿宋_GB2312" w:hAnsi="仿宋_GB2312" w:eastAsia="仿宋_GB2312" w:cs="仿宋_GB2312"/>
          <w:color w:val="auto"/>
          <w:sz w:val="32"/>
          <w:szCs w:val="32"/>
          <w:highlight w:val="none"/>
        </w:rPr>
        <w:br w:type="page"/>
      </w: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5</w:t>
      </w:r>
    </w:p>
    <w:p>
      <w:pPr>
        <w:spacing w:before="120" w:beforeLines="50" w:after="120" w:afterLines="50"/>
        <w:jc w:val="center"/>
        <w:rPr>
          <w:rFonts w:hint="eastAsia" w:ascii="方正小标宋简体" w:hAnsi="方正小标宋简体" w:eastAsia="方正小标宋简体" w:cs="方正小标宋简体"/>
          <w:color w:val="auto"/>
          <w:spacing w:val="-6"/>
          <w:sz w:val="36"/>
          <w:szCs w:val="36"/>
          <w:highlight w:val="none"/>
        </w:rPr>
      </w:pPr>
      <w:r>
        <w:rPr>
          <w:rFonts w:hint="eastAsia" w:ascii="方正小标宋简体" w:hAnsi="方正小标宋简体" w:eastAsia="方正小标宋简体" w:cs="方正小标宋简体"/>
          <w:color w:val="auto"/>
          <w:sz w:val="36"/>
          <w:szCs w:val="36"/>
          <w:highlight w:val="none"/>
        </w:rPr>
        <w:t>部门整体支出</w:t>
      </w:r>
      <w:r>
        <w:rPr>
          <w:rFonts w:hint="eastAsia" w:ascii="方正小标宋简体" w:hAnsi="方正小标宋简体" w:eastAsia="方正小标宋简体" w:cs="方正小标宋简体"/>
          <w:color w:val="auto"/>
          <w:spacing w:val="-6"/>
          <w:sz w:val="36"/>
          <w:szCs w:val="36"/>
          <w:highlight w:val="none"/>
        </w:rPr>
        <w:t>绩效自评工作考核评分表</w:t>
      </w:r>
    </w:p>
    <w:tbl>
      <w:tblPr>
        <w:tblStyle w:val="7"/>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color w:val="auto"/>
                <w:sz w:val="21"/>
                <w:szCs w:val="21"/>
                <w:highlight w:val="none"/>
              </w:rPr>
            </w:pPr>
            <w:r>
              <w:rPr>
                <w:rFonts w:hint="default" w:ascii="Times New Roman" w:hAnsi="Times New Roman" w:eastAsia="黑体" w:cs="Times New Roman"/>
                <w:bCs/>
                <w:color w:val="auto"/>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color w:val="auto"/>
                <w:sz w:val="21"/>
                <w:szCs w:val="21"/>
                <w:highlight w:val="none"/>
              </w:rPr>
            </w:pPr>
            <w:r>
              <w:rPr>
                <w:rFonts w:hint="default" w:ascii="Times New Roman" w:hAnsi="Times New Roman" w:eastAsia="黑体" w:cs="Times New Roman"/>
                <w:bCs/>
                <w:color w:val="auto"/>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color w:val="auto"/>
                <w:sz w:val="21"/>
                <w:szCs w:val="21"/>
                <w:highlight w:val="none"/>
              </w:rPr>
            </w:pPr>
            <w:r>
              <w:rPr>
                <w:rFonts w:hint="default" w:ascii="Times New Roman" w:hAnsi="Times New Roman" w:eastAsia="黑体" w:cs="Times New Roman"/>
                <w:bCs/>
                <w:color w:val="auto"/>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color w:val="auto"/>
                <w:sz w:val="21"/>
                <w:szCs w:val="21"/>
                <w:highlight w:val="none"/>
              </w:rPr>
            </w:pPr>
            <w:r>
              <w:rPr>
                <w:rFonts w:hint="default" w:ascii="Times New Roman" w:hAnsi="Times New Roman" w:eastAsia="黑体" w:cs="Times New Roman"/>
                <w:bCs/>
                <w:color w:val="auto"/>
                <w:sz w:val="21"/>
                <w:szCs w:val="21"/>
                <w:highlight w:val="none"/>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布置工作</w:t>
            </w:r>
          </w:p>
          <w:p>
            <w:pPr>
              <w:spacing w:line="300" w:lineRule="exact"/>
              <w:jc w:val="center"/>
              <w:rPr>
                <w:rFonts w:hint="default" w:ascii="Times New Roman" w:hAnsi="Times New Roman" w:eastAsia="仿宋_GB2312" w:cs="Times New Roman"/>
                <w:color w:val="auto"/>
                <w:sz w:val="20"/>
                <w:szCs w:val="20"/>
                <w:highlight w:val="none"/>
              </w:rPr>
            </w:pPr>
          </w:p>
          <w:p>
            <w:pPr>
              <w:spacing w:line="30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自评通知</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印发绩效自评通知的得2分，否则不得分。</w:t>
            </w:r>
          </w:p>
          <w:p>
            <w:p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绩效自评通知盖章的电子版</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工作小组</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本部门、本单位预算绩效管理领导小组</w:t>
            </w:r>
            <w:r>
              <w:rPr>
                <w:rFonts w:hint="default" w:ascii="Times New Roman" w:hAnsi="Times New Roman" w:eastAsia="仿宋_GB2312" w:cs="Times New Roman"/>
                <w:color w:val="auto"/>
                <w:spacing w:val="0"/>
                <w:sz w:val="20"/>
                <w:szCs w:val="20"/>
                <w:highlight w:val="none"/>
                <w:lang w:val="en-US" w:eastAsia="zh-CN"/>
              </w:rPr>
              <w:t>/</w:t>
            </w:r>
            <w:r>
              <w:rPr>
                <w:rFonts w:hint="default" w:ascii="Times New Roman" w:hAnsi="Times New Roman" w:eastAsia="仿宋_GB2312" w:cs="Times New Roman"/>
                <w:color w:val="auto"/>
                <w:sz w:val="20"/>
                <w:szCs w:val="20"/>
                <w:highlight w:val="none"/>
              </w:rPr>
              <w:t>绩效评价工作小组</w:t>
            </w:r>
            <w:r>
              <w:rPr>
                <w:rFonts w:hint="default" w:ascii="Times New Roman" w:hAnsi="Times New Roman" w:eastAsia="仿宋_GB2312" w:cs="Times New Roman"/>
                <w:color w:val="auto"/>
                <w:sz w:val="20"/>
                <w:szCs w:val="20"/>
                <w:highlight w:val="none"/>
                <w:lang w:eastAsia="zh-CN"/>
              </w:rPr>
              <w:t>有关</w:t>
            </w:r>
            <w:r>
              <w:rPr>
                <w:rFonts w:hint="default" w:ascii="Times New Roman" w:hAnsi="Times New Roman" w:eastAsia="仿宋_GB2312" w:cs="Times New Roman"/>
                <w:color w:val="auto"/>
                <w:spacing w:val="0"/>
                <w:sz w:val="20"/>
                <w:szCs w:val="20"/>
                <w:highlight w:val="none"/>
              </w:rPr>
              <w:t>文件</w:t>
            </w:r>
            <w:r>
              <w:rPr>
                <w:rFonts w:hint="default" w:ascii="Times New Roman" w:hAnsi="Times New Roman" w:eastAsia="仿宋_GB2312" w:cs="Times New Roman"/>
                <w:color w:val="auto"/>
                <w:sz w:val="20"/>
                <w:szCs w:val="20"/>
                <w:highlight w:val="none"/>
              </w:rPr>
              <w:t>盖章的电子版</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实施评价</w:t>
            </w:r>
          </w:p>
          <w:p>
            <w:pPr>
              <w:spacing w:line="300" w:lineRule="exact"/>
              <w:jc w:val="center"/>
              <w:rPr>
                <w:rFonts w:hint="default" w:ascii="Times New Roman" w:hAnsi="Times New Roman" w:eastAsia="仿宋_GB2312" w:cs="Times New Roman"/>
                <w:color w:val="auto"/>
                <w:sz w:val="20"/>
                <w:szCs w:val="20"/>
                <w:highlight w:val="none"/>
              </w:rPr>
            </w:pP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单位自查</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eastAsia="zh-CN"/>
              </w:rPr>
              <w:t>市级</w:t>
            </w:r>
            <w:r>
              <w:rPr>
                <w:rFonts w:hint="default" w:ascii="Times New Roman" w:hAnsi="Times New Roman" w:eastAsia="仿宋_GB2312" w:cs="Times New Roman"/>
                <w:color w:val="auto"/>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color w:val="auto"/>
                <w:sz w:val="20"/>
                <w:szCs w:val="20"/>
                <w:highlight w:val="none"/>
                <w:lang w:eastAsia="zh-CN"/>
              </w:rPr>
              <w:t>县、区</w:t>
            </w:r>
            <w:r>
              <w:rPr>
                <w:rFonts w:hint="default" w:ascii="Times New Roman" w:hAnsi="Times New Roman" w:eastAsia="仿宋_GB2312" w:cs="Times New Roman"/>
                <w:color w:val="auto"/>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3"/>
              </w:num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转移支付项目单位名称和资</w:t>
            </w:r>
            <w:r>
              <w:rPr>
                <w:rFonts w:hint="eastAsia" w:ascii="Times New Roman" w:hAnsi="Times New Roman" w:eastAsia="仿宋_GB2312" w:cs="Times New Roman"/>
                <w:color w:val="auto"/>
                <w:sz w:val="20"/>
                <w:szCs w:val="20"/>
                <w:highlight w:val="none"/>
                <w:lang w:val="en-US" w:eastAsia="zh-CN"/>
              </w:rPr>
              <w:t xml:space="preserve"> </w:t>
            </w:r>
            <w:r>
              <w:rPr>
                <w:rFonts w:hint="default" w:ascii="Times New Roman" w:hAnsi="Times New Roman" w:eastAsia="仿宋_GB2312" w:cs="Times New Roman"/>
                <w:color w:val="auto"/>
                <w:sz w:val="20"/>
                <w:szCs w:val="20"/>
                <w:highlight w:val="none"/>
              </w:rPr>
              <w:t>金情况清单</w:t>
            </w:r>
          </w:p>
          <w:p>
            <w:pPr>
              <w:numPr>
                <w:ilvl w:val="0"/>
                <w:numId w:val="3"/>
              </w:num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有转移支付资金的各</w:t>
            </w:r>
            <w:r>
              <w:rPr>
                <w:rFonts w:hint="eastAsia" w:ascii="Times New Roman" w:hAnsi="Times New Roman" w:eastAsia="仿宋_GB2312" w:cs="Times New Roman"/>
                <w:color w:val="auto"/>
                <w:sz w:val="20"/>
                <w:szCs w:val="20"/>
                <w:highlight w:val="none"/>
                <w:lang w:eastAsia="zh-CN"/>
              </w:rPr>
              <w:t>县区</w:t>
            </w:r>
            <w:r>
              <w:rPr>
                <w:rFonts w:hint="default" w:ascii="Times New Roman" w:hAnsi="Times New Roman" w:eastAsia="仿宋_GB2312" w:cs="Times New Roman"/>
                <w:color w:val="auto"/>
                <w:sz w:val="20"/>
                <w:szCs w:val="20"/>
                <w:highlight w:val="none"/>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提交报告</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按时向</w:t>
            </w:r>
            <w:r>
              <w:rPr>
                <w:rFonts w:hint="eastAsia" w:ascii="Times New Roman" w:hAnsi="Times New Roman" w:eastAsia="仿宋_GB2312" w:cs="Times New Roman"/>
                <w:color w:val="auto"/>
                <w:sz w:val="20"/>
                <w:szCs w:val="20"/>
                <w:highlight w:val="none"/>
                <w:lang w:eastAsia="zh-CN"/>
              </w:rPr>
              <w:t>市财政局</w:t>
            </w:r>
            <w:r>
              <w:rPr>
                <w:rFonts w:hint="default" w:ascii="Times New Roman" w:hAnsi="Times New Roman" w:eastAsia="仿宋_GB2312" w:cs="Times New Roman"/>
                <w:color w:val="auto"/>
                <w:sz w:val="20"/>
                <w:szCs w:val="20"/>
                <w:highlight w:val="none"/>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自评报告</w:t>
            </w:r>
          </w:p>
          <w:p>
            <w:pPr>
              <w:spacing w:line="300" w:lineRule="exact"/>
              <w:jc w:val="center"/>
              <w:rPr>
                <w:rFonts w:hint="default" w:ascii="Times New Roman" w:hAnsi="Times New Roman" w:eastAsia="仿宋_GB2312" w:cs="Times New Roman"/>
                <w:color w:val="auto"/>
                <w:sz w:val="20"/>
                <w:szCs w:val="20"/>
                <w:highlight w:val="none"/>
              </w:rPr>
            </w:pP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完整性</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绩效自评报告正文部分内容齐全的，得8分；否则每少一个部分扣2分，最多扣8分。</w:t>
            </w:r>
          </w:p>
          <w:p>
            <w:pPr>
              <w:spacing w:line="240" w:lineRule="auto"/>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绩效自评报告附件部分内容齐全的，得7分；否则每少一个部分扣2分，最多扣7分。</w:t>
            </w:r>
          </w:p>
        </w:tc>
      </w:tr>
      <w:tr>
        <w:tblPrEx>
          <w:tblCellMar>
            <w:top w:w="0" w:type="dxa"/>
            <w:left w:w="108" w:type="dxa"/>
            <w:bottom w:w="0" w:type="dxa"/>
            <w:right w:w="108" w:type="dxa"/>
          </w:tblCellMar>
        </w:tblPrEx>
        <w:trPr>
          <w:trHeight w:val="2143"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绩效</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自评表</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color w:val="auto"/>
                <w:sz w:val="20"/>
                <w:szCs w:val="20"/>
                <w:highlight w:val="none"/>
                <w:lang w:eastAsia="zh-CN"/>
              </w:rPr>
              <w:t>岳阳市市级</w:t>
            </w:r>
            <w:r>
              <w:rPr>
                <w:rFonts w:hint="default" w:ascii="Times New Roman" w:hAnsi="Times New Roman" w:eastAsia="仿宋_GB2312" w:cs="Times New Roman"/>
                <w:color w:val="auto"/>
                <w:sz w:val="20"/>
                <w:szCs w:val="20"/>
                <w:highlight w:val="none"/>
              </w:rPr>
              <w:t>预算部门绩效自评操作规程》要求的，得5分，否则按比例扣除相应的分数。</w:t>
            </w:r>
          </w:p>
          <w:p>
            <w:pPr>
              <w:spacing w:line="240" w:lineRule="auto"/>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3</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19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color w:val="auto"/>
                <w:highlight w:val="none"/>
              </w:rPr>
            </w:pPr>
          </w:p>
          <w:p>
            <w:pPr>
              <w:spacing w:line="240" w:lineRule="auto"/>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反映问</w:t>
            </w:r>
          </w:p>
          <w:p>
            <w:pPr>
              <w:spacing w:line="240" w:lineRule="auto"/>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题情况</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62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建议情况</w:t>
            </w:r>
          </w:p>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495"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r>
    </w:tbl>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color w:val="auto"/>
          <w:sz w:val="32"/>
          <w:szCs w:val="32"/>
          <w:highlight w:val="none"/>
          <w:lang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05CCB0"/>
    <w:multiLevelType w:val="singleLevel"/>
    <w:tmpl w:val="E805CCB0"/>
    <w:lvl w:ilvl="0" w:tentative="0">
      <w:start w:val="1"/>
      <w:numFmt w:val="decimal"/>
      <w:suff w:val="nothing"/>
      <w:lvlText w:val="%1、"/>
      <w:lvlJc w:val="left"/>
    </w:lvl>
  </w:abstractNum>
  <w:abstractNum w:abstractNumId="1">
    <w:nsid w:val="5DDF8822"/>
    <w:multiLevelType w:val="singleLevel"/>
    <w:tmpl w:val="5DDF8822"/>
    <w:lvl w:ilvl="0" w:tentative="0">
      <w:start w:val="1"/>
      <w:numFmt w:val="decimal"/>
      <w:suff w:val="nothing"/>
      <w:lvlText w:val="%1、"/>
      <w:lvlJc w:val="left"/>
    </w:lvl>
  </w:abstractNum>
  <w:abstractNum w:abstractNumId="2">
    <w:nsid w:val="797EC276"/>
    <w:multiLevelType w:val="singleLevel"/>
    <w:tmpl w:val="797EC27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 w:name="KSO_WPS_MARK_KEY" w:val="9eb3a969-1775-4615-8079-95df78bc1d80"/>
  </w:docVars>
  <w:rsids>
    <w:rsidRoot w:val="59886344"/>
    <w:rsid w:val="005319D6"/>
    <w:rsid w:val="014F4893"/>
    <w:rsid w:val="02963DFC"/>
    <w:rsid w:val="032A37D9"/>
    <w:rsid w:val="0341645D"/>
    <w:rsid w:val="040402E7"/>
    <w:rsid w:val="049C150C"/>
    <w:rsid w:val="04BF3660"/>
    <w:rsid w:val="04CB4B62"/>
    <w:rsid w:val="05047743"/>
    <w:rsid w:val="05CF0ABC"/>
    <w:rsid w:val="06DC1469"/>
    <w:rsid w:val="070E02C2"/>
    <w:rsid w:val="078E48D8"/>
    <w:rsid w:val="07A80859"/>
    <w:rsid w:val="097529BD"/>
    <w:rsid w:val="0A5A0F52"/>
    <w:rsid w:val="0AF437A8"/>
    <w:rsid w:val="0CA57A5D"/>
    <w:rsid w:val="0D333A50"/>
    <w:rsid w:val="0D505C1B"/>
    <w:rsid w:val="0EC107E0"/>
    <w:rsid w:val="0F234C69"/>
    <w:rsid w:val="0FEE6083"/>
    <w:rsid w:val="0FFC3E38"/>
    <w:rsid w:val="10417A9D"/>
    <w:rsid w:val="11813F2D"/>
    <w:rsid w:val="11F748B7"/>
    <w:rsid w:val="12C32D62"/>
    <w:rsid w:val="14447B5C"/>
    <w:rsid w:val="14795A57"/>
    <w:rsid w:val="15214918"/>
    <w:rsid w:val="156A0E93"/>
    <w:rsid w:val="15D114D0"/>
    <w:rsid w:val="160752E5"/>
    <w:rsid w:val="17D15BAA"/>
    <w:rsid w:val="18417FF3"/>
    <w:rsid w:val="18BB11EA"/>
    <w:rsid w:val="1A692698"/>
    <w:rsid w:val="1A6C4519"/>
    <w:rsid w:val="1ADF413A"/>
    <w:rsid w:val="1B6119E2"/>
    <w:rsid w:val="1BD75AF9"/>
    <w:rsid w:val="1BF7727F"/>
    <w:rsid w:val="1D151EAF"/>
    <w:rsid w:val="1DA5166B"/>
    <w:rsid w:val="1E22587F"/>
    <w:rsid w:val="20FA1CCE"/>
    <w:rsid w:val="22E23088"/>
    <w:rsid w:val="234F08C0"/>
    <w:rsid w:val="2355143D"/>
    <w:rsid w:val="26CA2142"/>
    <w:rsid w:val="26ED7BDF"/>
    <w:rsid w:val="276775E3"/>
    <w:rsid w:val="27C923FA"/>
    <w:rsid w:val="27E361AC"/>
    <w:rsid w:val="2ABE3496"/>
    <w:rsid w:val="2ADB2B70"/>
    <w:rsid w:val="2C732454"/>
    <w:rsid w:val="2CF33A75"/>
    <w:rsid w:val="2D426ED6"/>
    <w:rsid w:val="2EA442AD"/>
    <w:rsid w:val="308B46F0"/>
    <w:rsid w:val="32EB3B6C"/>
    <w:rsid w:val="33951476"/>
    <w:rsid w:val="33B421B0"/>
    <w:rsid w:val="35CD1307"/>
    <w:rsid w:val="36470974"/>
    <w:rsid w:val="37403D5B"/>
    <w:rsid w:val="390A4620"/>
    <w:rsid w:val="390E2362"/>
    <w:rsid w:val="3A217E73"/>
    <w:rsid w:val="3AAC23E7"/>
    <w:rsid w:val="3AB17449"/>
    <w:rsid w:val="3AEF7F72"/>
    <w:rsid w:val="3B5F50F7"/>
    <w:rsid w:val="3C0E61D6"/>
    <w:rsid w:val="3C293E83"/>
    <w:rsid w:val="3C3025F0"/>
    <w:rsid w:val="3D166B78"/>
    <w:rsid w:val="3D736C38"/>
    <w:rsid w:val="3FC25C55"/>
    <w:rsid w:val="3FDA4D4C"/>
    <w:rsid w:val="40316936"/>
    <w:rsid w:val="4043274F"/>
    <w:rsid w:val="40580367"/>
    <w:rsid w:val="41586871"/>
    <w:rsid w:val="427D1648"/>
    <w:rsid w:val="432D5ADB"/>
    <w:rsid w:val="43D9356D"/>
    <w:rsid w:val="44695BA8"/>
    <w:rsid w:val="44FE1B93"/>
    <w:rsid w:val="461F5878"/>
    <w:rsid w:val="46E43239"/>
    <w:rsid w:val="47245267"/>
    <w:rsid w:val="47685334"/>
    <w:rsid w:val="48497FAC"/>
    <w:rsid w:val="4A0D7262"/>
    <w:rsid w:val="4A617E1F"/>
    <w:rsid w:val="4AB32D6A"/>
    <w:rsid w:val="4AD472AA"/>
    <w:rsid w:val="4BF75BB4"/>
    <w:rsid w:val="4C3954F1"/>
    <w:rsid w:val="4C4874E2"/>
    <w:rsid w:val="4C6053BE"/>
    <w:rsid w:val="4E323FA5"/>
    <w:rsid w:val="4FAA2D7A"/>
    <w:rsid w:val="516F3138"/>
    <w:rsid w:val="51976F41"/>
    <w:rsid w:val="52756B57"/>
    <w:rsid w:val="52AE4D36"/>
    <w:rsid w:val="52D715BF"/>
    <w:rsid w:val="536A41E2"/>
    <w:rsid w:val="53DD2C05"/>
    <w:rsid w:val="54D20290"/>
    <w:rsid w:val="55FA527D"/>
    <w:rsid w:val="56AB2B47"/>
    <w:rsid w:val="56C41E5B"/>
    <w:rsid w:val="56DC0F52"/>
    <w:rsid w:val="572823EA"/>
    <w:rsid w:val="57415259"/>
    <w:rsid w:val="57874D86"/>
    <w:rsid w:val="58FC1C36"/>
    <w:rsid w:val="59886344"/>
    <w:rsid w:val="59FD5DAF"/>
    <w:rsid w:val="5A831E7F"/>
    <w:rsid w:val="5B6836FC"/>
    <w:rsid w:val="5CCE3A33"/>
    <w:rsid w:val="5DA402F0"/>
    <w:rsid w:val="5DF43025"/>
    <w:rsid w:val="5FB24F46"/>
    <w:rsid w:val="604F6C39"/>
    <w:rsid w:val="60673F83"/>
    <w:rsid w:val="6074044E"/>
    <w:rsid w:val="609B00D0"/>
    <w:rsid w:val="60C767F0"/>
    <w:rsid w:val="60F6584D"/>
    <w:rsid w:val="61B054B5"/>
    <w:rsid w:val="62776EE9"/>
    <w:rsid w:val="635263D8"/>
    <w:rsid w:val="63D30291"/>
    <w:rsid w:val="64195594"/>
    <w:rsid w:val="641E6274"/>
    <w:rsid w:val="64841CA8"/>
    <w:rsid w:val="64C5396E"/>
    <w:rsid w:val="658253BB"/>
    <w:rsid w:val="65F362B8"/>
    <w:rsid w:val="66AA6977"/>
    <w:rsid w:val="671D183F"/>
    <w:rsid w:val="676E6DA0"/>
    <w:rsid w:val="6865279D"/>
    <w:rsid w:val="69482477"/>
    <w:rsid w:val="69A267ED"/>
    <w:rsid w:val="69A578CA"/>
    <w:rsid w:val="6AC16985"/>
    <w:rsid w:val="6B2F38EF"/>
    <w:rsid w:val="6B3E7FD6"/>
    <w:rsid w:val="6BA51E03"/>
    <w:rsid w:val="6C6407B2"/>
    <w:rsid w:val="6CEF5734"/>
    <w:rsid w:val="6D7B2E1B"/>
    <w:rsid w:val="6DBA67EC"/>
    <w:rsid w:val="6DEA61F3"/>
    <w:rsid w:val="6EFA102D"/>
    <w:rsid w:val="708E10B8"/>
    <w:rsid w:val="733F6699"/>
    <w:rsid w:val="739C435C"/>
    <w:rsid w:val="75F447F7"/>
    <w:rsid w:val="76405288"/>
    <w:rsid w:val="765E46EE"/>
    <w:rsid w:val="768A0573"/>
    <w:rsid w:val="78FA50FA"/>
    <w:rsid w:val="79BC7596"/>
    <w:rsid w:val="7A513882"/>
    <w:rsid w:val="7AB91427"/>
    <w:rsid w:val="7AE534E4"/>
    <w:rsid w:val="7BD1454E"/>
    <w:rsid w:val="7C2B3C5E"/>
    <w:rsid w:val="7C934347"/>
    <w:rsid w:val="7DA010E6"/>
    <w:rsid w:val="7DF804B8"/>
    <w:rsid w:val="7ECA0929"/>
    <w:rsid w:val="7FC35B70"/>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99"/>
    <w:pPr>
      <w:snapToGrid w:val="0"/>
      <w:jc w:val="left"/>
    </w:pPr>
    <w:rPr>
      <w:sz w:val="18"/>
      <w:szCs w:val="18"/>
    </w:rPr>
  </w:style>
  <w:style w:type="paragraph" w:styleId="3">
    <w:name w:val="toa heading"/>
    <w:basedOn w:val="1"/>
    <w:next w:val="1"/>
    <w:qFormat/>
    <w:uiPriority w:val="99"/>
    <w:pPr>
      <w:spacing w:before="120" w:after="200" w:line="276" w:lineRule="auto"/>
    </w:pPr>
    <w:rPr>
      <w:rFonts w:ascii="Arial" w:hAnsi="Arial"/>
      <w:sz w:val="24"/>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Body Text Indent"/>
    <w:basedOn w:val="1"/>
    <w:qFormat/>
    <w:uiPriority w:val="0"/>
    <w:pPr>
      <w:spacing w:after="120" w:afterLines="0" w:afterAutospacing="0"/>
      <w:ind w:left="420" w:leftChars="200"/>
    </w:pPr>
  </w:style>
  <w:style w:type="paragraph" w:styleId="6">
    <w:name w:val="Body Text First Indent 2"/>
    <w:basedOn w:val="5"/>
    <w:qFormat/>
    <w:uiPriority w:val="0"/>
    <w:pPr>
      <w:ind w:firstLine="420" w:firstLineChars="200"/>
    </w:pPr>
  </w:style>
  <w:style w:type="paragraph" w:customStyle="1" w:styleId="9">
    <w:name w:val="列出段落1"/>
    <w:basedOn w:val="1"/>
    <w:qFormat/>
    <w:uiPriority w:val="34"/>
    <w:pPr>
      <w:ind w:firstLine="420" w:firstLineChars="200"/>
    </w:pPr>
  </w:style>
  <w:style w:type="paragraph" w:styleId="10">
    <w:name w:val="List Paragraph"/>
    <w:basedOn w:val="1"/>
    <w:qFormat/>
    <w:uiPriority w:val="99"/>
    <w:pPr>
      <w:ind w:firstLine="420" w:firstLineChars="200"/>
    </w:pPr>
    <w:rPr>
      <w:rFonts w:ascii="Calibri" w:hAnsi="Calibri"/>
      <w:szCs w:val="22"/>
    </w:rPr>
  </w:style>
  <w:style w:type="character" w:customStyle="1" w:styleId="11">
    <w:name w:val="font21"/>
    <w:basedOn w:val="8"/>
    <w:qFormat/>
    <w:uiPriority w:val="0"/>
    <w:rPr>
      <w:rFonts w:hint="eastAsia" w:ascii="仿宋_GB2312" w:eastAsia="仿宋_GB2312" w:cs="仿宋_GB2312"/>
      <w:color w:val="000000"/>
      <w:sz w:val="18"/>
      <w:szCs w:val="18"/>
      <w:u w:val="none"/>
    </w:rPr>
  </w:style>
  <w:style w:type="character" w:customStyle="1" w:styleId="12">
    <w:name w:val="font11"/>
    <w:basedOn w:val="8"/>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7020</Words>
  <Characters>7603</Characters>
  <Lines>0</Lines>
  <Paragraphs>0</Paragraphs>
  <TotalTime>12</TotalTime>
  <ScaleCrop>false</ScaleCrop>
  <LinksUpToDate>false</LinksUpToDate>
  <CharactersWithSpaces>7910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Gat</cp:lastModifiedBy>
  <dcterms:modified xsi:type="dcterms:W3CDTF">2024-06-13T03:57:42Z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BE1274E365EF4E5AA2F8F02E87B193FF_13</vt:lpwstr>
  </property>
</Properties>
</file>