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BD" w:rsidRDefault="00E57EBD" w:rsidP="00E57EBD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57EBD" w:rsidRDefault="00E57EBD" w:rsidP="00E57EBD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E57EBD" w:rsidTr="00B6698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中心城区房地产办证专项行动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159.34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159.34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BD" w:rsidRDefault="00E57EBD" w:rsidP="00B66988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已经办理房屋</w:t>
            </w:r>
            <w:proofErr w:type="gramStart"/>
            <w:r>
              <w:rPr>
                <w:rFonts w:hint="eastAsia"/>
                <w:lang w:eastAsia="zh-CN"/>
              </w:rPr>
              <w:t>栋证但</w:t>
            </w:r>
            <w:proofErr w:type="gramEnd"/>
            <w:r>
              <w:rPr>
                <w:rFonts w:hint="eastAsia"/>
                <w:lang w:eastAsia="zh-CN"/>
              </w:rPr>
              <w:t>尚未办理分户证的新建商品房，</w:t>
            </w:r>
            <w:r>
              <w:rPr>
                <w:rFonts w:eastAsia="宋体" w:hint="eastAsia"/>
                <w:lang w:eastAsia="zh-CN"/>
              </w:rPr>
              <w:t>督促办理房产证，制定</w:t>
            </w:r>
            <w:r>
              <w:rPr>
                <w:rFonts w:hint="eastAsia"/>
                <w:lang w:eastAsia="zh-CN"/>
              </w:rPr>
              <w:t>2023年7月1日之前完成6000套，至2023年12月31日前共完成20000套的目标。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pStyle w:val="TableText"/>
              <w:numPr>
                <w:ilvl w:val="0"/>
                <w:numId w:val="1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房地产办证专项行动的对象为</w:t>
            </w:r>
            <w:r>
              <w:rPr>
                <w:rFonts w:eastAsia="宋体" w:hint="eastAsia"/>
                <w:lang w:eastAsia="zh-CN"/>
              </w:rPr>
              <w:t>2023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 w:hint="eastAsia"/>
                <w:lang w:eastAsia="zh-CN"/>
              </w:rPr>
              <w:t>日之前达到办理分户证条件的购房人共</w:t>
            </w:r>
            <w:r>
              <w:rPr>
                <w:rFonts w:eastAsia="宋体" w:hint="eastAsia"/>
                <w:lang w:eastAsia="zh-CN"/>
              </w:rPr>
              <w:t>24746</w:t>
            </w:r>
            <w:r>
              <w:rPr>
                <w:rFonts w:eastAsia="宋体" w:hint="eastAsia"/>
                <w:lang w:eastAsia="zh-CN"/>
              </w:rPr>
              <w:t>户，截至年底共办结</w:t>
            </w:r>
            <w:r>
              <w:rPr>
                <w:rFonts w:eastAsia="宋体" w:hint="eastAsia"/>
                <w:lang w:eastAsia="zh-CN"/>
              </w:rPr>
              <w:t>11089</w:t>
            </w:r>
            <w:r>
              <w:rPr>
                <w:rFonts w:eastAsia="宋体" w:hint="eastAsia"/>
                <w:lang w:eastAsia="zh-CN"/>
              </w:rPr>
              <w:t>户，完成比例</w:t>
            </w:r>
            <w:r>
              <w:rPr>
                <w:rFonts w:eastAsia="宋体" w:hint="eastAsia"/>
                <w:lang w:eastAsia="zh-CN"/>
              </w:rPr>
              <w:t>44.81%</w:t>
            </w:r>
            <w:r>
              <w:rPr>
                <w:rFonts w:eastAsia="宋体" w:hint="eastAsia"/>
                <w:lang w:eastAsia="zh-CN"/>
              </w:rPr>
              <w:t>，剩余</w:t>
            </w:r>
            <w:r>
              <w:rPr>
                <w:rFonts w:eastAsia="宋体" w:hint="eastAsia"/>
                <w:lang w:eastAsia="zh-CN"/>
              </w:rPr>
              <w:t>13657</w:t>
            </w:r>
            <w:r>
              <w:rPr>
                <w:rFonts w:eastAsia="宋体" w:hint="eastAsia"/>
                <w:lang w:eastAsia="zh-CN"/>
              </w:rPr>
              <w:t>户。</w:t>
            </w:r>
            <w:r w:rsidRPr="00A81E5F">
              <w:rPr>
                <w:rFonts w:eastAsia="宋体" w:hint="eastAsia"/>
                <w:lang w:eastAsia="zh-CN"/>
              </w:rPr>
              <w:t>专项行动的开展，在</w:t>
            </w:r>
            <w:r w:rsidRPr="00A81E5F">
              <w:rPr>
                <w:rFonts w:eastAsia="宋体"/>
                <w:lang w:eastAsia="zh-CN"/>
              </w:rPr>
              <w:t>2023</w:t>
            </w:r>
            <w:r w:rsidRPr="00A81E5F">
              <w:rPr>
                <w:rFonts w:eastAsia="宋体"/>
                <w:lang w:eastAsia="zh-CN"/>
              </w:rPr>
              <w:t>年房地产延续低迷状态的情况下，新建商品房的契税也同比增长了</w:t>
            </w:r>
            <w:r w:rsidRPr="00A81E5F">
              <w:rPr>
                <w:rFonts w:eastAsia="宋体"/>
                <w:lang w:eastAsia="zh-CN"/>
              </w:rPr>
              <w:t>5000</w:t>
            </w:r>
            <w:r w:rsidRPr="00A81E5F">
              <w:rPr>
                <w:rFonts w:eastAsia="宋体"/>
                <w:lang w:eastAsia="zh-CN"/>
              </w:rPr>
              <w:t>多万</w:t>
            </w:r>
            <w:r>
              <w:rPr>
                <w:rFonts w:eastAsia="宋体" w:hint="eastAsia"/>
                <w:lang w:eastAsia="zh-CN"/>
              </w:rPr>
              <w:t>。</w:t>
            </w:r>
          </w:p>
          <w:p w:rsidR="00E57EBD" w:rsidRDefault="00E57EBD" w:rsidP="00B66988">
            <w:pPr>
              <w:pStyle w:val="TableText"/>
              <w:numPr>
                <w:ilvl w:val="0"/>
                <w:numId w:val="1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建立机制，推动协作配合。定期召开调度会议，共同推进，解决疑难问题。</w:t>
            </w:r>
          </w:p>
          <w:p w:rsidR="00E57EBD" w:rsidRDefault="00E57EBD" w:rsidP="00B66988">
            <w:pPr>
              <w:pStyle w:val="TableText"/>
              <w:numPr>
                <w:ilvl w:val="0"/>
                <w:numId w:val="1"/>
              </w:num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注重引导，强化宣传效果。</w:t>
            </w:r>
            <w:r>
              <w:rPr>
                <w:rFonts w:eastAsia="宋体" w:hint="eastAsia"/>
                <w:lang w:eastAsia="zh-CN"/>
              </w:rPr>
              <w:t>通过宣传进小区、宣传到每一个购房人、使用新媒体宣传，保障购房人的权益。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办理分户证户数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20000户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11089户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时间横跨18年，</w:t>
            </w:r>
            <w:r w:rsidRPr="00A000A3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专项行动缺乏强制力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00A3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购房人办证意愿不强。建议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建立</w:t>
            </w:r>
            <w:r w:rsidRPr="00A000A3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契税征收长效机制，</w:t>
            </w:r>
            <w:r w:rsidRPr="00A000A3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处理好遗留问题</w:t>
            </w:r>
            <w:r w:rsidRPr="00A000A3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，</w:t>
            </w:r>
            <w:r w:rsidRPr="00A000A3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积极推行交房即交证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专项经费按标准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1000元/套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eastAsia="en-US"/>
              </w:rPr>
            </w:pP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摸清办证底数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eastAsia="en-US"/>
              </w:rPr>
            </w:pP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办证效率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资金分配合理性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按照计划时间完成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2023年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项目成本控制在预算范围内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（30分）</w:t>
            </w:r>
          </w:p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防范金融风险，创造良好经济环境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降低金融风险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有所降低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加强宣传报道，引导购房人及时办理不动产权证、分户证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有明显效果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有明显效果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保障购房人权益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对环境造成的负面影响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建立“交房即交证”的长效机制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建立新建商品房买卖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合同网签备案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信息实时共享和及时纳税的长效机制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适应工作需求，使得工作进入良性循环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受益群众满意度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BD" w:rsidTr="00B66988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BD" w:rsidRDefault="00E57EBD" w:rsidP="00B6698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57EBD" w:rsidRDefault="00E57EBD" w:rsidP="00E57EBD">
      <w:pPr>
        <w:rPr>
          <w:rFonts w:ascii="Times New Roman" w:eastAsia="仿宋_GB2312" w:hAnsi="Times New Roman"/>
          <w:sz w:val="18"/>
          <w:szCs w:val="18"/>
        </w:rPr>
      </w:pPr>
    </w:p>
    <w:p w:rsidR="0074646B" w:rsidRDefault="00E57EBD" w:rsidP="00E57EBD">
      <w:r>
        <w:rPr>
          <w:rFonts w:ascii="Times New Roman" w:eastAsia="仿宋_GB2312" w:hAnsi="Times New Roman"/>
          <w:sz w:val="22"/>
          <w:szCs w:val="22"/>
        </w:rPr>
        <w:t>填表人：</w:t>
      </w:r>
      <w:r>
        <w:rPr>
          <w:rFonts w:ascii="Times New Roman" w:eastAsia="仿宋_GB2312" w:hAnsi="Times New Roman"/>
          <w:sz w:val="22"/>
          <w:szCs w:val="22"/>
        </w:rPr>
        <w:t xml:space="preserve">  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>
        <w:rPr>
          <w:rFonts w:ascii="Times New Roman" w:eastAsia="仿宋_GB2312" w:hAnsi="Times New Roman"/>
          <w:sz w:val="22"/>
          <w:szCs w:val="22"/>
        </w:rPr>
        <w:t xml:space="preserve">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>
        <w:rPr>
          <w:rFonts w:ascii="Times New Roman" w:eastAsia="仿宋_GB2312" w:hAnsi="Times New Roman"/>
          <w:sz w:val="22"/>
          <w:szCs w:val="22"/>
        </w:rPr>
        <w:t xml:space="preserve">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   </w:t>
      </w:r>
      <w:r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单位负责人签字：</w:t>
      </w:r>
      <w:r>
        <w:rPr>
          <w:rFonts w:ascii="Times New Roman" w:eastAsia="仿宋_GB2312" w:hAnsi="Times New Roman"/>
          <w:sz w:val="22"/>
          <w:szCs w:val="22"/>
        </w:rPr>
        <w:br w:type="page"/>
      </w:r>
      <w:bookmarkStart w:id="0" w:name="_GoBack"/>
      <w:bookmarkEnd w:id="0"/>
    </w:p>
    <w:sectPr w:rsidR="0074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E7DED4"/>
    <w:multiLevelType w:val="singleLevel"/>
    <w:tmpl w:val="EAE7DE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BD"/>
    <w:rsid w:val="0074646B"/>
    <w:rsid w:val="00E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69440-A75D-4F6F-95C7-F7841C47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BD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57EBD"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2024-07-08T06:19:00Z</dcterms:created>
  <dcterms:modified xsi:type="dcterms:W3CDTF">2024-07-08T06:20:00Z</dcterms:modified>
</cp:coreProperties>
</file>