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岳阳市道路运输服务中心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部门（单位）整体支出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绩效自评报告</w:t>
      </w:r>
    </w:p>
    <w:p>
      <w:pPr>
        <w:jc w:val="center"/>
        <w:rPr>
          <w:rFonts w:hint="default" w:ascii="Times New Roman" w:hAnsi="Times New Roman" w:eastAsia="方正小标宋_GBK" w:cs="Times New Roman"/>
          <w:b/>
          <w:sz w:val="52"/>
          <w:szCs w:val="5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both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both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部门（单位）名称：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>（盖章）</w:t>
      </w:r>
    </w:p>
    <w:p>
      <w:pPr>
        <w:spacing w:line="60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 xml:space="preserve">年 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 xml:space="preserve"> 月 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16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（此页为封面）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岳阳市道路运输服务中心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整体支出绩效自评报告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部门（单位）基本情况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市道路运输服务中心</w:t>
      </w:r>
      <w:r>
        <w:rPr>
          <w:rFonts w:hint="eastAsia" w:ascii="仿宋_GB2312" w:hAnsi="仿宋_GB2312" w:eastAsia="仿宋_GB2312" w:cs="仿宋_GB2312"/>
          <w:sz w:val="32"/>
          <w:szCs w:val="40"/>
        </w:rPr>
        <w:t>核定全额拔款事业编制90名。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经费渠道为财政全额拨款。</w:t>
      </w:r>
      <w:r>
        <w:rPr>
          <w:rFonts w:hint="eastAsia" w:ascii="仿宋_GB2312" w:hAnsi="仿宋_GB2312" w:eastAsia="仿宋_GB2312" w:cs="仿宋_GB2312"/>
          <w:sz w:val="32"/>
          <w:szCs w:val="40"/>
        </w:rPr>
        <w:t>单位现实有在编人员8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40"/>
        </w:rPr>
        <w:t>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，其中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40"/>
        </w:rPr>
        <w:t>023年度招录公开招聘人员2人，招录四海揽才人员6人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</w:rPr>
        <w:t>核定领导职数6名，设主任（副处级）1名，党委副职（正科级）5名（其中党委专职副书记1名）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40"/>
        </w:rPr>
        <w:t>内设机构副科级领导职数11名（含党委办主任1名）；分支机构正科级领导职数3名、副科级领导职数6名。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二、一般公共预算支出情况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  <w:t>（一）基本支出情况</w:t>
      </w:r>
    </w:p>
    <w:p>
      <w:pPr>
        <w:numPr>
          <w:ilvl w:val="0"/>
          <w:numId w:val="0"/>
        </w:numPr>
        <w:snapToGrid w:val="0"/>
        <w:spacing w:line="520" w:lineRule="exact"/>
        <w:ind w:left="840" w:leftChars="0" w:firstLine="0" w:firstLineChars="0"/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（1）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  <w:t>总体情况：2023年度部门支出数为1507.43万元，其中工资福利支出总数为1216.08万元，占总支出的80.6%；商品和服务支出总数为151.12万元，占总支出的10.2%；对个人和家庭的补助总数为106.22万元，占总支出的7.0%；资本性支出总数为34万元，占总支出的2.2%。</w:t>
      </w:r>
    </w:p>
    <w:p>
      <w:pPr>
        <w:numPr>
          <w:ilvl w:val="0"/>
          <w:numId w:val="0"/>
        </w:numPr>
        <w:snapToGrid w:val="0"/>
        <w:spacing w:line="520" w:lineRule="exact"/>
        <w:ind w:left="840" w:leftChars="0" w:firstLine="0" w:firstLineChars="0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  <w:r>
        <w:rPr>
          <w:rFonts w:hint="default" w:ascii="仿宋_GB2312" w:hAnsi="仿宋" w:eastAsia="仿宋_GB2312"/>
          <w:b w:val="0"/>
          <w:bCs/>
          <w:sz w:val="32"/>
          <w:szCs w:val="32"/>
          <w:lang w:val="en-US" w:eastAsia="zh-CN"/>
        </w:rPr>
        <w:t>（2）</w:t>
      </w:r>
      <w:r>
        <w:rPr>
          <w:rFonts w:hint="eastAsia" w:ascii="仿宋_GB2312" w:hAnsi="仿宋" w:eastAsia="仿宋_GB2312"/>
          <w:sz w:val="32"/>
          <w:szCs w:val="32"/>
        </w:rPr>
        <w:t>“三公”经费支出情况：“三公”经费财政拨款支出预算为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25.18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部门</w:t>
      </w:r>
      <w:r>
        <w:rPr>
          <w:rFonts w:hint="eastAsia" w:ascii="仿宋_GB2312" w:hAnsi="仿宋" w:eastAsia="仿宋_GB2312"/>
          <w:sz w:val="32"/>
          <w:szCs w:val="32"/>
        </w:rPr>
        <w:t>支出为2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.51</w:t>
      </w:r>
      <w:r>
        <w:rPr>
          <w:rFonts w:hint="eastAsia" w:ascii="仿宋_GB2312" w:hAnsi="仿宋" w:eastAsia="仿宋_GB2312"/>
          <w:sz w:val="32"/>
          <w:szCs w:val="32"/>
        </w:rPr>
        <w:t>万元，完成预算的100%，其中：公务用车运行维护费支出预算为2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.08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部门</w:t>
      </w:r>
      <w:r>
        <w:rPr>
          <w:rFonts w:hint="eastAsia" w:ascii="仿宋_GB2312" w:hAnsi="仿宋" w:eastAsia="仿宋_GB2312"/>
          <w:sz w:val="32"/>
          <w:szCs w:val="32"/>
        </w:rPr>
        <w:t>支出为2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0.83</w:t>
      </w:r>
      <w:r>
        <w:rPr>
          <w:rFonts w:hint="eastAsia" w:ascii="仿宋_GB2312" w:hAnsi="仿宋" w:eastAsia="仿宋_GB2312"/>
          <w:sz w:val="32"/>
          <w:szCs w:val="32"/>
        </w:rPr>
        <w:t>万元，完成预算的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0%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公务接待费支出预算为0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.43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部门</w:t>
      </w:r>
      <w:r>
        <w:rPr>
          <w:rFonts w:hint="eastAsia" w:ascii="仿宋_GB2312" w:hAnsi="仿宋" w:eastAsia="仿宋_GB2312"/>
          <w:sz w:val="32"/>
          <w:szCs w:val="32"/>
        </w:rPr>
        <w:t>支出为0.4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万元，完成预算的100%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  <w:t>项目支出情况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项目支出总数为22万元，分别为地方铁路安全监管专项14万元，非税收入直接征收成本8万元。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部门年度完成</w:t>
      </w:r>
      <w:r>
        <w:rPr>
          <w:rFonts w:hint="eastAsia" w:ascii="仿宋_GB2312" w:hAnsi="仿宋" w:eastAsia="仿宋_GB2312"/>
          <w:sz w:val="32"/>
          <w:szCs w:val="32"/>
        </w:rPr>
        <w:t>一级项目和二级项目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/>
          <w:sz w:val="32"/>
          <w:szCs w:val="32"/>
        </w:rPr>
        <w:t>绩效目标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，完成产出指标的数量指标值，客运、货运业务办理完成率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95%，完成地方铁路1450万吨货运量，完成从业人员2000人的培训；达成效益指标的经济效益，减税降费达到100万元。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三、政府性基金预算支出情况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黑体"/>
          <w:color w:val="000000"/>
          <w:kern w:val="0"/>
          <w:sz w:val="32"/>
          <w:szCs w:val="32"/>
          <w:lang w:val="en-US" w:eastAsia="zh-CN" w:bidi="ar-SA"/>
        </w:rPr>
        <w:t>无政府性基金预算支出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国有资本经营预算支出情况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仿宋_GB2312" w:hAnsi="仿宋" w:eastAsia="仿宋_GB2312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" w:eastAsia="仿宋_GB2312" w:cs="黑体"/>
          <w:color w:val="000000"/>
          <w:kern w:val="0"/>
          <w:sz w:val="32"/>
          <w:szCs w:val="32"/>
          <w:lang w:val="en-US" w:eastAsia="zh-CN" w:bidi="ar-SA"/>
        </w:rPr>
        <w:t xml:space="preserve"> 无</w:t>
      </w:r>
      <w:r>
        <w:rPr>
          <w:rFonts w:hint="default" w:ascii="仿宋_GB2312" w:hAnsi="仿宋" w:eastAsia="仿宋_GB2312" w:cs="黑体"/>
          <w:color w:val="000000"/>
          <w:kern w:val="0"/>
          <w:sz w:val="32"/>
          <w:szCs w:val="32"/>
          <w:lang w:val="en-US" w:eastAsia="zh-CN" w:bidi="ar-SA"/>
        </w:rPr>
        <w:t>国有资本经营预算支出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社会保险基金预算支出情况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无</w:t>
      </w:r>
      <w:r>
        <w:rPr>
          <w:rFonts w:hint="default" w:ascii="仿宋_GB2312" w:hAnsi="仿宋" w:eastAsia="仿宋_GB2312"/>
          <w:sz w:val="32"/>
          <w:szCs w:val="32"/>
          <w:lang w:eastAsia="zh-CN"/>
        </w:rPr>
        <w:t>社会保险基金预算支出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六、部门整体支出绩效情况</w:t>
      </w:r>
    </w:p>
    <w:p>
      <w:pPr>
        <w:ind w:firstLine="960" w:firstLineChars="300"/>
        <w:rPr>
          <w:rFonts w:hint="eastAsia" w:eastAsia="仿宋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我中心较好地完成了202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设定的工作任务，各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部门工作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得到有序开展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坚持服务至上理念，推进运输结构调整,服务运输经济发展，</w:t>
      </w:r>
      <w:r>
        <w:rPr>
          <w:rFonts w:hint="eastAsia" w:ascii="仿宋" w:hAnsi="仿宋" w:eastAsia="仿宋"/>
          <w:sz w:val="32"/>
          <w:szCs w:val="32"/>
          <w:lang w:eastAsia="zh-CN"/>
        </w:rPr>
        <w:t>主要事业成效如下：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引导和支持客运站综合开发，鼓励和规范定制客运发展，全市开通线路9条、车辆118辆。</w:t>
      </w:r>
      <w:r>
        <w:rPr>
          <w:rFonts w:hint="eastAsia" w:ascii="仿宋" w:hAnsi="仿宋" w:eastAsia="仿宋" w:cs="仿宋"/>
          <w:sz w:val="32"/>
          <w:szCs w:val="32"/>
          <w:lang w:bidi="ar"/>
        </w:rPr>
        <w:t>碳达峰碳中和稳步推进，新上纯电网约车9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39</w:t>
      </w:r>
      <w:r>
        <w:rPr>
          <w:rFonts w:hint="eastAsia" w:ascii="仿宋" w:hAnsi="仿宋" w:eastAsia="仿宋" w:cs="仿宋"/>
          <w:sz w:val="32"/>
          <w:szCs w:val="32"/>
          <w:lang w:bidi="ar"/>
        </w:rPr>
        <w:t>台，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是</w:t>
      </w:r>
      <w:r>
        <w:rPr>
          <w:rFonts w:hint="eastAsia" w:ascii="仿宋" w:hAnsi="仿宋" w:eastAsia="仿宋" w:cs="仿宋"/>
          <w:sz w:val="32"/>
          <w:szCs w:val="32"/>
          <w:lang w:bidi="ar"/>
        </w:rPr>
        <w:t>2022 年底的 8倍多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，</w:t>
      </w:r>
      <w:r>
        <w:rPr>
          <w:rFonts w:hint="eastAsia" w:ascii="仿宋" w:hAnsi="仿宋" w:eastAsia="仿宋" w:cs="仿宋"/>
          <w:sz w:val="32"/>
          <w:szCs w:val="32"/>
          <w:lang w:bidi="ar"/>
        </w:rPr>
        <w:t>全市 90 台出租车完成“油换电”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办理出租车注册、注销服务监督卡3256张，续牌办理道路运输证228台。客运车辆年审513台次，审核换领旅游客运包车牌1.25万张;完成普货年审4448台，危货审验788台，办理电子运单19.78万条。举办客、危、出租车从业资格培训班32期，完成培训3171人，考核合格2435人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解决中心城区“两客一危”企业日常巡查查摆隐患问题98个，整改98个，警示约谈企业负责人11次，安全巡查覆盖率100%，对全市14家涉铁企业32个道口开展“隐患清零”专项检查9次，整治铁路沿线安全隐患308处。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开展使得区域内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经济效益、社会效益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得以提升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，到年底完成全部项目的100%，资金拨付达到90%，完成项目验收率达到100%。区域内的铁路运输得到保障，为区域内经济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创造了条件，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为当地带来较为良好的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生态效益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影响当地经济发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社会公众的满意度非常高。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七、存在的问题及原因分析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缺乏明确的绩效评价指标，难以量化和细化，评价标准过于抽象，不易理解和执行；缺乏有效的预算执行监督机制。原因一是没有加强预算执行监督，提高财务透明度，二是没有简化绩效管理流程，没有优化跨部门协作，财务管理的信息化水平有待提高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下一步改进措施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进一步促进和完善财务管理制度及内部控制，加强预算管理、严格预算执行，严格按照财政预算标准支付各项费用。加强日常</w:t>
      </w:r>
      <w:r>
        <w:rPr>
          <w:rFonts w:hint="eastAsia" w:eastAsia="仿宋" w:cs="仿宋"/>
          <w:sz w:val="32"/>
          <w:szCs w:val="32"/>
          <w:lang w:eastAsia="zh-CN"/>
        </w:rPr>
        <w:t>铁路监管</w:t>
      </w:r>
      <w:r>
        <w:rPr>
          <w:rFonts w:hint="eastAsia" w:ascii="仿宋" w:hAnsi="仿宋" w:eastAsia="仿宋" w:cs="仿宋"/>
          <w:sz w:val="32"/>
          <w:szCs w:val="32"/>
        </w:rPr>
        <w:t>的巡查力度，稳步提升</w:t>
      </w:r>
      <w:r>
        <w:rPr>
          <w:rFonts w:hint="eastAsia" w:eastAsia="仿宋" w:cs="仿宋"/>
          <w:sz w:val="32"/>
          <w:szCs w:val="32"/>
          <w:lang w:eastAsia="zh-CN"/>
        </w:rPr>
        <w:t>铁路交通运力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部门整体支出绩效自评结果拟应用和公开情况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年本单位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年初工作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计划与目标管理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，围绕市委、市政府以及省局的工作部署，积极履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，强化管理，较好地完成了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当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年工作目标，同时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严格执行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预算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制度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管理，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完善内控制度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，提升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单位整体支出效率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。在规定时限内对202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年部门整体支出绩效自评报告在岳阳市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交通运输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局门户网站进行公开。</w:t>
      </w:r>
    </w:p>
    <w:p>
      <w:pPr>
        <w:spacing w:line="560" w:lineRule="exact"/>
        <w:ind w:firstLine="640" w:firstLineChars="200"/>
        <w:rPr>
          <w:rFonts w:hint="eastAsia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7A59DE"/>
    <w:multiLevelType w:val="singleLevel"/>
    <w:tmpl w:val="877A59D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44A13B8"/>
    <w:multiLevelType w:val="singleLevel"/>
    <w:tmpl w:val="E44A13B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251FBCE"/>
    <w:multiLevelType w:val="singleLevel"/>
    <w:tmpl w:val="F251FBC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79A2A67"/>
    <w:multiLevelType w:val="singleLevel"/>
    <w:tmpl w:val="579A2A6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F994676"/>
    <w:multiLevelType w:val="singleLevel"/>
    <w:tmpl w:val="5F99467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NGFkMDMyYjJlMTAzMmJlNzRlMjFjYzM1ZGE5YWUifQ=="/>
  </w:docVars>
  <w:rsids>
    <w:rsidRoot w:val="389728E6"/>
    <w:rsid w:val="281D62A2"/>
    <w:rsid w:val="389728E6"/>
    <w:rsid w:val="3F4F55FF"/>
    <w:rsid w:val="59F55223"/>
    <w:rsid w:val="60DA4050"/>
    <w:rsid w:val="62E6391C"/>
    <w:rsid w:val="7C6A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after="200" w:line="276" w:lineRule="auto"/>
    </w:pPr>
    <w:rPr>
      <w:rFonts w:ascii="Arial" w:hAnsi="Arial"/>
      <w:sz w:val="24"/>
    </w:rPr>
  </w:style>
  <w:style w:type="paragraph" w:styleId="5">
    <w:name w:val="List Paragraph"/>
    <w:basedOn w:val="1"/>
    <w:autoRedefine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2024-06-26T02:12:00Z</dcterms:created>
  <dc:creator>张萌</dc:creator>
  <cp:lastModifiedBy>张萌</cp:lastModifiedBy>
  <dcterms:modified xsi:type="dcterms:W3CDTF">2024-07-04T02:42:26Z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CFFE1300DC064D3BA1622C45CEF34D3B_13</vt:lpwstr>
  </property>
</Properties>
</file>