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eastAsia="黑体"/>
          <w:kern w:val="0"/>
          <w:sz w:val="32"/>
          <w:szCs w:val="32"/>
          <w:lang w:val="en-US" w:eastAsia="zh-CN"/>
        </w:rPr>
      </w:pPr>
      <w:r>
        <w:rPr>
          <w:rFonts w:eastAsia="黑体"/>
          <w:kern w:val="0"/>
          <w:sz w:val="32"/>
          <w:szCs w:val="32"/>
        </w:rPr>
        <w:t>附件</w:t>
      </w:r>
      <w:r>
        <w:rPr>
          <w:rFonts w:hint="eastAsia" w:eastAsia="黑体"/>
          <w:kern w:val="0"/>
          <w:sz w:val="32"/>
          <w:szCs w:val="32"/>
          <w:lang w:val="en-US" w:eastAsia="zh-CN"/>
        </w:rPr>
        <w:t>4</w:t>
      </w: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bookmarkStart w:id="0" w:name="_GoBack"/>
      <w:bookmarkEnd w:id="0"/>
    </w:p>
    <w:p>
      <w:pPr>
        <w:spacing w:line="600" w:lineRule="exact"/>
        <w:rPr>
          <w:rFonts w:hint="default" w:ascii="Times New Roman" w:hAnsi="Times New Roman" w:eastAsia="黑体" w:cs="Times New Roman"/>
          <w:sz w:val="32"/>
          <w:szCs w:val="32"/>
        </w:rPr>
      </w:pPr>
    </w:p>
    <w:p>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b/>
          <w:bCs/>
          <w:sz w:val="52"/>
          <w:szCs w:val="52"/>
        </w:rPr>
        <w:t>202</w:t>
      </w:r>
      <w:r>
        <w:rPr>
          <w:rFonts w:hint="eastAsia" w:ascii="Times New Roman" w:hAnsi="Times New Roman" w:eastAsia="方正小标宋_GBK" w:cs="Times New Roman"/>
          <w:b/>
          <w:bCs/>
          <w:sz w:val="52"/>
          <w:szCs w:val="52"/>
          <w:lang w:val="en-US" w:eastAsia="zh-CN"/>
        </w:rPr>
        <w:t>3</w:t>
      </w:r>
      <w:r>
        <w:rPr>
          <w:rFonts w:hint="default" w:ascii="Times New Roman" w:hAnsi="Times New Roman" w:eastAsia="方正小标宋_GBK" w:cs="Times New Roman"/>
          <w:sz w:val="52"/>
          <w:szCs w:val="52"/>
        </w:rPr>
        <w:t>年</w:t>
      </w:r>
      <w:r>
        <w:rPr>
          <w:rFonts w:hint="eastAsia" w:ascii="Times New Roman" w:hAnsi="Times New Roman" w:eastAsia="方正小标宋_GBK" w:cs="Times New Roman"/>
          <w:sz w:val="52"/>
          <w:szCs w:val="52"/>
          <w:lang w:eastAsia="zh-CN"/>
        </w:rPr>
        <w:t>度</w:t>
      </w:r>
      <w:r>
        <w:rPr>
          <w:rFonts w:hint="eastAsia" w:ascii="Times New Roman" w:hAnsi="Times New Roman" w:eastAsia="方正小标宋_GBK" w:cs="Times New Roman"/>
          <w:b/>
          <w:bCs/>
          <w:sz w:val="52"/>
          <w:szCs w:val="52"/>
          <w:lang w:eastAsia="zh-CN"/>
        </w:rPr>
        <w:t>岳阳市巴陵戏传承研究院</w:t>
      </w:r>
      <w:r>
        <w:rPr>
          <w:rFonts w:hint="default" w:ascii="Times New Roman" w:hAnsi="Times New Roman" w:eastAsia="方正小标宋_GBK" w:cs="Times New Roman"/>
          <w:sz w:val="52"/>
          <w:szCs w:val="52"/>
        </w:rPr>
        <w:t>部门整体支出绩效自评报告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eastAsia" w:ascii="Times New Roman" w:hAnsi="Times New Roman" w:eastAsia="仿宋_GB2312" w:cs="Times New Roman"/>
          <w:sz w:val="32"/>
          <w:szCs w:val="32"/>
          <w:lang w:eastAsia="zh-CN"/>
        </w:rPr>
        <w:t>岳阳市巴陵戏传承研究院</w:t>
      </w:r>
      <w:r>
        <w:rPr>
          <w:rFonts w:hint="default" w:ascii="Times New Roman" w:hAnsi="Times New Roman" w:eastAsia="仿宋_GB2312" w:cs="Times New Roman"/>
          <w:sz w:val="32"/>
          <w:szCs w:val="32"/>
          <w:u w:val="single"/>
        </w:rPr>
        <w:t xml:space="preserve">（盖章）        </w:t>
      </w:r>
    </w:p>
    <w:p>
      <w:pPr>
        <w:spacing w:line="600" w:lineRule="exact"/>
        <w:ind w:firstLine="3200" w:firstLineChars="1000"/>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2024</w:t>
      </w:r>
      <w:r>
        <w:rPr>
          <w:rFonts w:hint="default" w:ascii="Times New Roman" w:hAnsi="Times New Roman" w:eastAsia="楷体_GB2312" w:cs="Times New Roman"/>
          <w:sz w:val="32"/>
          <w:szCs w:val="32"/>
        </w:rPr>
        <w:t xml:space="preserve">年 </w:t>
      </w: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 xml:space="preserve"> 月 </w:t>
      </w:r>
      <w:r>
        <w:rPr>
          <w:rFonts w:hint="eastAsia" w:ascii="Times New Roman" w:hAnsi="Times New Roman" w:eastAsia="楷体_GB2312" w:cs="Times New Roman"/>
          <w:sz w:val="32"/>
          <w:szCs w:val="32"/>
          <w:lang w:val="en-US" w:eastAsia="zh-CN"/>
        </w:rPr>
        <w:t>11</w:t>
      </w:r>
      <w:r>
        <w:rPr>
          <w:rFonts w:hint="default" w:ascii="Times New Roman" w:hAnsi="Times New Roman" w:eastAsia="楷体_GB2312" w:cs="Times New Roman"/>
          <w:sz w:val="32"/>
          <w:szCs w:val="32"/>
        </w:rPr>
        <w:t xml:space="preserve"> 日</w:t>
      </w:r>
    </w:p>
    <w:p>
      <w:pPr>
        <w:jc w:val="center"/>
        <w:rPr>
          <w:rFonts w:hint="default" w:ascii="Times New Roman" w:hAnsi="Times New Roman" w:eastAsia="黑体"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（此页为封面）</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jc w:val="center"/>
        <w:rPr>
          <w:rFonts w:hint="eastAsia"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rPr>
        <w:t>202</w:t>
      </w:r>
      <w:r>
        <w:rPr>
          <w:rFonts w:hint="eastAsia" w:ascii="Times New Roman" w:hAnsi="Times New Roman" w:eastAsia="方正小标宋_GBK" w:cs="Times New Roman"/>
          <w:b/>
          <w:bCs/>
          <w:sz w:val="44"/>
          <w:szCs w:val="44"/>
          <w:lang w:val="en-US" w:eastAsia="zh-CN"/>
        </w:rPr>
        <w:t>3</w:t>
      </w:r>
      <w:r>
        <w:rPr>
          <w:rFonts w:hint="default" w:ascii="Times New Roman" w:hAnsi="Times New Roman" w:eastAsia="方正小标宋_GBK" w:cs="Times New Roman"/>
          <w:sz w:val="44"/>
          <w:szCs w:val="44"/>
        </w:rPr>
        <w:t>年度</w:t>
      </w:r>
      <w:r>
        <w:rPr>
          <w:rFonts w:hint="eastAsia" w:ascii="Times New Roman" w:hAnsi="Times New Roman" w:eastAsia="方正小标宋_GBK" w:cs="Times New Roman"/>
          <w:b/>
          <w:bCs/>
          <w:sz w:val="44"/>
          <w:szCs w:val="44"/>
          <w:lang w:val="en-US" w:eastAsia="zh-CN"/>
        </w:rPr>
        <w:t>岳阳市巴陵戏传承研究院</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整体支出绩效自评报告</w:t>
      </w:r>
    </w:p>
    <w:p>
      <w:pPr>
        <w:rPr>
          <w:rFonts w:hint="default" w:ascii="Times New Roman" w:hAnsi="Times New Roman" w:eastAsia="黑体" w:cs="Times New Roman"/>
          <w:sz w:val="32"/>
          <w:szCs w:val="32"/>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一、部门（单位）基本情况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岳阳市巴陵戏传承研究院是</w:t>
      </w:r>
      <w:r>
        <w:rPr>
          <w:rFonts w:hint="eastAsia" w:ascii="仿宋" w:hAnsi="仿宋" w:eastAsia="仿宋" w:cs="仿宋"/>
          <w:sz w:val="32"/>
          <w:szCs w:val="32"/>
          <w:lang w:val="en-US" w:eastAsia="zh-CN"/>
        </w:rPr>
        <w:t>根据省委编办《关于反馈岳阳市市直深化事业单位改革试点涉及改科级机构情况表的函》（湘编办函（2021）55号）精神由原来的市巴陵戏传承研究院、市文学艺术研究所整合重新组建的市巴陵戏传承研究院。市巴陵戏传承研究院为文化旅游广电局管理的公益一类事业单位，机构规格为正科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巴陵戏传承研究院贯彻落实党中央和省委、市委关于国有文艺院团工作的方针政策和决策部署。主要职责是：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承担相关文艺政策宣传、公共服务工作，2.承担我市对外文化艺术交流活动和艺术普及工作，3.承担国家级非物质文化遗产保护项目巴陵戏的挖掘、整理、保护、传承、研究工作；承担岳阳地方文艺形态发掘、整理和研究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承担巴陵戏、花鼓戏、歌舞、民乐等剧（节）目创作生产演出工作，5.承担全市重点剧（节）目的咨询、论证、辅导、推介工作，6．承担艺术课题的研究和艺术理论成果编辑出版工作，7．承担市直送戏曲进乡村、进社区、进厂矿、进学校等公益性演出工作，8．承担"一元剧场"惠民演出工作，9．完成市文化旅游广电局交办的其他工作任务。我院内设9个机构：综合部、巴陵戏剧室、花鼓戏剧室、歌舞工作室、民乐队、舞美工作室、艺术研究室、宣传普教室、后勤保障部。目前在岗事业编制117名，设院长1名（正科级），副院长4名（副科级），党组织专职副书记（副科级）1名，纪检员（副科级）1名。经费渠道为财政全额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eastAsia" w:ascii="仿宋" w:hAnsi="仿宋" w:eastAsia="仿宋" w:cs="仿宋"/>
          <w:sz w:val="32"/>
          <w:szCs w:val="32"/>
        </w:rPr>
        <w:t>巴陵戏发展至今已近四百年历史，曾被胡耀邦同志誉为“岳阳三绝”(即岳阳楼、君山岛、巴陵戏)，巴陵戏称谓也是由田汉、梅兰芳先生确定，是全国独一无二的地方大戏剧种，被文化部冠以“天下第一团”称号，因其深厚的文化底蕴、历史价值和艺术价值，2006 年被国务院列为首批国家级非物质文化遗产保护项目</w:t>
      </w:r>
      <w:r>
        <w:rPr>
          <w:rFonts w:hint="eastAsia" w:ascii="仿宋" w:hAnsi="仿宋" w:eastAsia="仿宋" w:cs="仿宋"/>
          <w:sz w:val="32"/>
          <w:szCs w:val="32"/>
          <w:lang w:eastAsia="zh-CN"/>
        </w:rPr>
        <w:t>。</w:t>
      </w:r>
    </w:p>
    <w:p>
      <w:pPr>
        <w:pStyle w:val="7"/>
        <w:widowControl/>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7"/>
        <w:widowControl/>
        <w:spacing w:line="600" w:lineRule="exact"/>
        <w:ind w:firstLine="643"/>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年本单位</w:t>
      </w:r>
      <w:r>
        <w:rPr>
          <w:rFonts w:hint="eastAsia" w:ascii="仿宋" w:hAnsi="仿宋" w:eastAsia="仿宋" w:cs="仿宋"/>
          <w:sz w:val="32"/>
          <w:szCs w:val="32"/>
          <w:lang w:val="en-US" w:eastAsia="zh-CN"/>
        </w:rPr>
        <w:t>全年支出3668.18万元。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b/>
          <w:sz w:val="32"/>
          <w:szCs w:val="32"/>
        </w:rPr>
      </w:pPr>
      <w:r>
        <w:rPr>
          <w:rFonts w:hint="eastAsia" w:ascii="仿宋" w:hAnsi="仿宋" w:eastAsia="仿宋" w:cs="仿宋"/>
          <w:sz w:val="32"/>
          <w:szCs w:val="32"/>
          <w:lang w:val="en-US" w:eastAsia="zh-CN"/>
        </w:rPr>
        <w:t>基本</w:t>
      </w:r>
      <w:r>
        <w:rPr>
          <w:rFonts w:hint="eastAsia" w:ascii="仿宋" w:hAnsi="仿宋" w:eastAsia="仿宋" w:cs="仿宋"/>
          <w:sz w:val="32"/>
          <w:szCs w:val="32"/>
        </w:rPr>
        <w:t>支出</w:t>
      </w:r>
      <w:r>
        <w:rPr>
          <w:rFonts w:hint="eastAsia" w:ascii="仿宋" w:hAnsi="仿宋" w:eastAsia="仿宋" w:cs="仿宋"/>
          <w:sz w:val="32"/>
          <w:szCs w:val="32"/>
          <w:lang w:val="en-US" w:eastAsia="zh-CN"/>
        </w:rPr>
        <w:t>2232.15万元，基本支出：人员经费1992.12万元，公用经费240.02万元，</w:t>
      </w:r>
      <w:r>
        <w:rPr>
          <w:rFonts w:hint="eastAsia" w:ascii="仿宋" w:hAnsi="仿宋" w:eastAsia="仿宋" w:cs="仿宋"/>
          <w:sz w:val="32"/>
          <w:szCs w:val="32"/>
        </w:rPr>
        <w:t>主要用于保障机关正常运转所需开支的办公费、差旅费、招待费、会议费、公务用车运行维护费、物业管理费等。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项目支出1436.03万元，其中：基本建设类项目988..76万元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b/>
          <w:sz w:val="32"/>
          <w:szCs w:val="32"/>
          <w:lang w:eastAsia="zh-CN"/>
        </w:rPr>
      </w:pPr>
      <w:r>
        <w:rPr>
          <w:rFonts w:hint="eastAsia" w:ascii="仿宋" w:hAnsi="仿宋" w:eastAsia="仿宋" w:cs="仿宋"/>
          <w:sz w:val="32"/>
          <w:szCs w:val="32"/>
          <w:lang w:val="en-US" w:eastAsia="zh-CN"/>
        </w:rPr>
        <w:t>工资福利支出1690.80万元，商品和服务支出845.59万元，对个人和家庭的补助301.32万元</w:t>
      </w:r>
      <w:r>
        <w:rPr>
          <w:rFonts w:hint="eastAsia" w:ascii="仿宋" w:hAnsi="仿宋" w:eastAsia="仿宋" w:cs="仿宋"/>
          <w:sz w:val="32"/>
          <w:szCs w:val="32"/>
        </w:rPr>
        <w:t>。主要用于发放行政人员、事业人员、工勤人员以及临时工工资及津补贴；支付机关离退休员工的工资及津补贴、抚恤金、丧葬费、生活补助等</w:t>
      </w:r>
      <w:r>
        <w:rPr>
          <w:rFonts w:hint="eastAsia" w:ascii="仿宋" w:hAnsi="仿宋" w:eastAsia="仿宋" w:cs="仿宋"/>
          <w:sz w:val="32"/>
          <w:szCs w:val="32"/>
          <w:lang w:eastAsia="zh-CN"/>
        </w:rPr>
        <w:t>。</w:t>
      </w:r>
    </w:p>
    <w:p>
      <w:pPr>
        <w:pStyle w:val="7"/>
        <w:widowControl/>
        <w:spacing w:line="600" w:lineRule="exact"/>
        <w:ind w:firstLine="643"/>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（二）项目支出情况</w:t>
      </w:r>
    </w:p>
    <w:p>
      <w:pPr>
        <w:spacing w:line="240" w:lineRule="auto"/>
        <w:ind w:firstLine="640" w:firstLineChars="200"/>
        <w:rPr>
          <w:rFonts w:hint="eastAsia" w:ascii="仿宋" w:hAnsi="仿宋" w:eastAsia="仿宋" w:cs="仿宋"/>
          <w:sz w:val="32"/>
          <w:szCs w:val="32"/>
        </w:rPr>
      </w:pPr>
      <w:r>
        <w:rPr>
          <w:rFonts w:hint="eastAsia" w:ascii="楷体" w:hAnsi="楷体" w:eastAsia="楷体" w:cs="楷体"/>
          <w:sz w:val="32"/>
          <w:szCs w:val="32"/>
          <w:lang w:val="en-US" w:eastAsia="zh-CN"/>
        </w:rPr>
        <w:t>（一）、2023年中央补助地方公共文化服务体系建设专项资金（濒危剧种免费或低票价演出）项目拨付经费50万。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专项经费下达后，我院严格按照中央和省、市财政要求，规范、合理使用专项资金，无违规或挪用专项资金的做法。</w:t>
      </w:r>
      <w:r>
        <w:rPr>
          <w:rFonts w:hint="eastAsia" w:ascii="仿宋" w:hAnsi="仿宋" w:eastAsia="仿宋" w:cs="仿宋"/>
          <w:sz w:val="32"/>
          <w:szCs w:val="32"/>
          <w:lang w:val="en-US" w:eastAsia="zh-CN"/>
        </w:rPr>
        <w:t>2023年，顺利完成濒危剧种各项演出80场，开展青年演员培训抵扣20场，合计100场。</w:t>
      </w:r>
      <w:r>
        <w:rPr>
          <w:rFonts w:hint="eastAsia" w:ascii="仿宋" w:hAnsi="仿宋" w:eastAsia="仿宋" w:cs="仿宋"/>
          <w:sz w:val="32"/>
          <w:szCs w:val="32"/>
        </w:rPr>
        <w:t>共支出</w:t>
      </w:r>
      <w:r>
        <w:rPr>
          <w:rFonts w:hint="eastAsia" w:ascii="仿宋" w:hAnsi="仿宋" w:eastAsia="仿宋" w:cs="仿宋"/>
          <w:sz w:val="32"/>
          <w:szCs w:val="32"/>
          <w:lang w:val="en-US" w:eastAsia="zh-CN"/>
        </w:rPr>
        <w:t>50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（二）、旅游文化演艺活动项目（岳阳楼记）拨付经费100万元。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大型歌舞巴陵戏（岳阳楼记）为文旅提质营销演艺活动，预计2024年6月完成经费使用。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（三）小型舞台精品艺术创作（专业口）拨付经费15万元。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小戏《穿越时空的重逢》为湖南省第八届艺术节参赛剧目，剧本打磨提质，拟计划于2024年6月份完成经费使用。</w:t>
      </w:r>
    </w:p>
    <w:p>
      <w:pPr>
        <w:pStyle w:val="7"/>
        <w:widowControl/>
        <w:spacing w:line="600" w:lineRule="exact"/>
        <w:ind w:firstLine="640"/>
        <w:jc w:val="left"/>
        <w:rPr>
          <w:rFonts w:hint="default" w:ascii="Times New Roman" w:hAnsi="Times New Roman" w:eastAsia="黑体" w:cs="Times New Roman"/>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文化设施维修改造项目拨付经费30万元。</w:t>
      </w:r>
    </w:p>
    <w:p>
      <w:pPr>
        <w:pStyle w:val="7"/>
        <w:widowControl/>
        <w:spacing w:line="60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岳阳市晓朝宾馆传习基地维修改造，2023年12月资金拨付到位，我院精心组织、安全施工，共支出30万资金(2023完成9590元，2024年1月完成29.04万元)。</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国家艺术基金大型新编历史巴陵戏《共饮一江水》（专业口）拨付经费100万元（其他资金）。市级配套资金150万元公演经费，上年结转文化创作经费60万元，已完成318.17万元。</w:t>
      </w:r>
    </w:p>
    <w:p>
      <w:pPr>
        <w:pStyle w:val="2"/>
        <w:numPr>
          <w:ilvl w:val="0"/>
          <w:numId w:val="1"/>
        </w:numPr>
        <w:rPr>
          <w:rFonts w:hint="default" w:ascii="楷体" w:hAnsi="楷体" w:eastAsia="楷体" w:cs="楷体"/>
          <w:kern w:val="2"/>
          <w:sz w:val="32"/>
          <w:szCs w:val="32"/>
          <w:lang w:val="en-US" w:eastAsia="zh-CN" w:bidi="ar-SA"/>
        </w:rPr>
      </w:pPr>
      <w:r>
        <w:rPr>
          <w:rFonts w:hint="eastAsia"/>
          <w:lang w:val="en-US" w:eastAsia="zh-CN"/>
        </w:rPr>
        <w:t>上</w:t>
      </w:r>
      <w:r>
        <w:rPr>
          <w:rFonts w:hint="eastAsia" w:ascii="楷体" w:hAnsi="楷体" w:eastAsia="楷体" w:cs="楷体"/>
          <w:kern w:val="2"/>
          <w:sz w:val="32"/>
          <w:szCs w:val="32"/>
          <w:lang w:val="en-US" w:eastAsia="zh-CN" w:bidi="ar-SA"/>
        </w:rPr>
        <w:t>年结转文化综合发展资金《洞庭船》20万元已完成。</w:t>
      </w:r>
    </w:p>
    <w:p>
      <w:pPr>
        <w:pStyle w:val="3"/>
        <w:numPr>
          <w:ilvl w:val="0"/>
          <w:numId w:val="1"/>
        </w:numPr>
        <w:ind w:left="0" w:leftChars="0" w:firstLine="0" w:firstLineChars="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上年结转文化综合发展资金《四季村晚》12万元已完成。</w:t>
      </w:r>
    </w:p>
    <w:p>
      <w:pPr>
        <w:pStyle w:val="7"/>
        <w:widowControl/>
        <w:numPr>
          <w:ilvl w:val="0"/>
          <w:numId w:val="1"/>
        </w:numPr>
        <w:spacing w:line="600" w:lineRule="exact"/>
        <w:ind w:left="0" w:leftChars="0" w:firstLine="0" w:firstLineChars="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巴陵戏展演中心改扩建项目已完成988.76万元。</w:t>
      </w:r>
    </w:p>
    <w:p>
      <w:pPr>
        <w:pStyle w:val="7"/>
        <w:widowControl/>
        <w:numPr>
          <w:ilvl w:val="0"/>
          <w:numId w:val="1"/>
        </w:numPr>
        <w:spacing w:line="600" w:lineRule="exact"/>
        <w:ind w:left="0" w:leftChars="0" w:firstLine="0" w:firstLineChars="0"/>
        <w:jc w:val="left"/>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《十大产业领军人才颁奖晚会》工作经费28万元，已完成颁奖晚会1场。</w:t>
      </w:r>
    </w:p>
    <w:p>
      <w:pPr>
        <w:pStyle w:val="7"/>
        <w:widowControl/>
        <w:numPr>
          <w:ilvl w:val="0"/>
          <w:numId w:val="1"/>
        </w:numPr>
        <w:spacing w:line="600" w:lineRule="exact"/>
        <w:ind w:left="0" w:leftChars="0" w:firstLine="0" w:firstLineChars="0"/>
        <w:jc w:val="left"/>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《十大同心人物颁奖典礼》工作经费26万元，已完成颁奖晚会1场。</w:t>
      </w:r>
    </w:p>
    <w:p>
      <w:pPr>
        <w:rPr>
          <w:rFonts w:hint="eastAsia"/>
          <w:lang w:val="en-US" w:eastAsia="zh-CN"/>
        </w:rPr>
      </w:pPr>
    </w:p>
    <w:p>
      <w:pPr>
        <w:pStyle w:val="7"/>
        <w:widowControl/>
        <w:spacing w:line="600" w:lineRule="exact"/>
        <w:ind w:left="0" w:leftChars="0"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三、政府性基金预算支出情况</w:t>
      </w:r>
    </w:p>
    <w:p>
      <w:pPr>
        <w:pStyle w:val="7"/>
        <w:widowControl/>
        <w:spacing w:line="600" w:lineRule="exact"/>
        <w:ind w:firstLine="64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2023年政府性基金支出598.7958万元。</w:t>
      </w:r>
    </w:p>
    <w:p>
      <w:pPr>
        <w:pStyle w:val="7"/>
        <w:widowControl/>
        <w:spacing w:line="60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四、国有资本经营预算支出情况</w:t>
      </w:r>
    </w:p>
    <w:p>
      <w:pPr>
        <w:pStyle w:val="7"/>
        <w:widowControl/>
        <w:spacing w:line="600" w:lineRule="exact"/>
        <w:ind w:firstLine="640"/>
        <w:jc w:val="left"/>
        <w:rPr>
          <w:rFonts w:hint="default" w:ascii="Times New Roman" w:hAnsi="Times New Roman" w:eastAsia="黑体" w:cs="Times New Roman"/>
          <w:sz w:val="32"/>
          <w:szCs w:val="32"/>
          <w:lang w:val="en-US" w:eastAsia="zh-CN"/>
        </w:rPr>
      </w:pPr>
      <w:r>
        <w:rPr>
          <w:rFonts w:hint="eastAsia" w:ascii="仿宋" w:hAnsi="仿宋" w:eastAsia="仿宋" w:cs="仿宋"/>
          <w:sz w:val="32"/>
          <w:szCs w:val="32"/>
          <w:lang w:val="en-US" w:eastAsia="zh-CN"/>
        </w:rPr>
        <w:t>2023年度我院无国有资本经营预算支出情况。</w:t>
      </w:r>
    </w:p>
    <w:p>
      <w:pPr>
        <w:pStyle w:val="7"/>
        <w:widowControl/>
        <w:spacing w:line="60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五、社会保险基金预算支出情况</w:t>
      </w:r>
    </w:p>
    <w:p>
      <w:pPr>
        <w:pStyle w:val="7"/>
        <w:widowControl/>
        <w:spacing w:line="600" w:lineRule="exact"/>
        <w:ind w:firstLine="640"/>
        <w:jc w:val="left"/>
        <w:rPr>
          <w:rFonts w:hint="default" w:ascii="Times New Roman" w:hAnsi="Times New Roman" w:eastAsia="黑体" w:cs="Times New Roman"/>
          <w:sz w:val="32"/>
          <w:szCs w:val="32"/>
        </w:rPr>
      </w:pPr>
      <w:r>
        <w:rPr>
          <w:rFonts w:hint="eastAsia" w:ascii="仿宋" w:hAnsi="仿宋" w:eastAsia="仿宋" w:cs="仿宋"/>
          <w:sz w:val="32"/>
          <w:szCs w:val="32"/>
          <w:lang w:val="en-US" w:eastAsia="zh-CN"/>
        </w:rPr>
        <w:t>2023年度我院无社会保险基金预算支出情况。</w:t>
      </w:r>
    </w:p>
    <w:p>
      <w:pPr>
        <w:widowControl/>
        <w:spacing w:line="600" w:lineRule="exact"/>
        <w:ind w:firstLine="645"/>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我院的项目绩效目标全部完成，总评价为</w:t>
      </w:r>
      <w:r>
        <w:rPr>
          <w:rFonts w:hint="eastAsia" w:ascii="仿宋" w:hAnsi="仿宋" w:eastAsia="仿宋" w:cs="仿宋"/>
          <w:sz w:val="32"/>
          <w:szCs w:val="32"/>
          <w:lang w:val="en-US" w:eastAsia="zh-CN"/>
        </w:rPr>
        <w:t>优</w:t>
      </w:r>
      <w:r>
        <w:rPr>
          <w:rFonts w:hint="eastAsia" w:ascii="仿宋" w:hAnsi="仿宋" w:eastAsia="仿宋" w:cs="仿宋"/>
          <w:sz w:val="32"/>
          <w:szCs w:val="32"/>
        </w:rPr>
        <w:t>。具体如下: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1、经济性。</w:t>
      </w:r>
      <w:r>
        <w:rPr>
          <w:rFonts w:hint="eastAsia" w:ascii="仿宋" w:hAnsi="仿宋" w:eastAsia="仿宋" w:cs="仿宋"/>
          <w:sz w:val="32"/>
          <w:szCs w:val="32"/>
        </w:rPr>
        <w:t>项目在实施过程中，严格控制经费支出实际总支出未超出预算。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2、安全性。</w:t>
      </w:r>
      <w:r>
        <w:rPr>
          <w:rFonts w:hint="eastAsia" w:ascii="仿宋" w:hAnsi="仿宋" w:eastAsia="仿宋" w:cs="仿宋"/>
          <w:i w:val="0"/>
          <w:iCs w:val="0"/>
          <w:caps w:val="0"/>
          <w:color w:val="4A4A4A"/>
          <w:spacing w:val="0"/>
          <w:sz w:val="32"/>
          <w:szCs w:val="32"/>
          <w:shd w:val="clear" w:fill="FFFFFF"/>
        </w:rPr>
        <w:t>不断规范单位用款行为</w:t>
      </w:r>
      <w:r>
        <w:rPr>
          <w:rFonts w:hint="eastAsia" w:ascii="仿宋" w:hAnsi="仿宋" w:eastAsia="仿宋" w:cs="仿宋"/>
          <w:i w:val="0"/>
          <w:iCs w:val="0"/>
          <w:caps w:val="0"/>
          <w:color w:val="4A4A4A"/>
          <w:spacing w:val="0"/>
          <w:sz w:val="32"/>
          <w:szCs w:val="32"/>
          <w:shd w:val="clear" w:fill="FFFFFF"/>
          <w:lang w:eastAsia="zh-CN"/>
        </w:rPr>
        <w:t>，</w:t>
      </w:r>
      <w:r>
        <w:rPr>
          <w:rFonts w:hint="eastAsia" w:ascii="仿宋" w:hAnsi="仿宋" w:eastAsia="仿宋" w:cs="仿宋"/>
          <w:i w:val="0"/>
          <w:iCs w:val="0"/>
          <w:caps w:val="0"/>
          <w:color w:val="4A4A4A"/>
          <w:spacing w:val="0"/>
          <w:sz w:val="32"/>
          <w:szCs w:val="32"/>
          <w:shd w:val="clear" w:fill="FFFFFF"/>
        </w:rPr>
        <w:t>全面推进内控建设，“源头治腐”防线已经构建。</w:t>
      </w:r>
      <w:r>
        <w:rPr>
          <w:rFonts w:hint="eastAsia" w:ascii="仿宋" w:hAnsi="仿宋" w:eastAsia="仿宋" w:cs="仿宋"/>
          <w:i w:val="0"/>
          <w:iCs w:val="0"/>
          <w:caps w:val="0"/>
          <w:color w:val="4A4A4A"/>
          <w:spacing w:val="0"/>
          <w:sz w:val="32"/>
          <w:szCs w:val="32"/>
          <w:shd w:val="clear" w:fill="FFFFFF"/>
          <w:lang w:val="en-US" w:eastAsia="zh-CN"/>
        </w:rPr>
        <w:t>项目</w:t>
      </w:r>
      <w:r>
        <w:rPr>
          <w:rFonts w:hint="eastAsia" w:ascii="仿宋" w:hAnsi="仿宋" w:eastAsia="仿宋" w:cs="仿宋"/>
          <w:i w:val="0"/>
          <w:iCs w:val="0"/>
          <w:caps w:val="0"/>
          <w:color w:val="4A4A4A"/>
          <w:spacing w:val="0"/>
          <w:sz w:val="32"/>
          <w:szCs w:val="32"/>
          <w:shd w:val="clear" w:fill="FFFFFF"/>
        </w:rPr>
        <w:t>开展政府采购全流程电子化交易工作</w:t>
      </w:r>
      <w:r>
        <w:rPr>
          <w:rFonts w:hint="eastAsia" w:ascii="仿宋" w:hAnsi="仿宋" w:eastAsia="仿宋" w:cs="仿宋"/>
          <w:i w:val="0"/>
          <w:iCs w:val="0"/>
          <w:caps w:val="0"/>
          <w:color w:val="4A4A4A"/>
          <w:spacing w:val="0"/>
          <w:sz w:val="32"/>
          <w:szCs w:val="32"/>
          <w:shd w:val="clear" w:fill="FFFFFF"/>
          <w:lang w:eastAsia="zh-CN"/>
        </w:rPr>
        <w:t>，</w:t>
      </w:r>
      <w:r>
        <w:rPr>
          <w:rFonts w:hint="eastAsia" w:ascii="仿宋" w:hAnsi="仿宋" w:eastAsia="仿宋" w:cs="仿宋"/>
          <w:i w:val="0"/>
          <w:iCs w:val="0"/>
          <w:caps w:val="0"/>
          <w:color w:val="4A4A4A"/>
          <w:spacing w:val="0"/>
          <w:sz w:val="32"/>
          <w:szCs w:val="32"/>
          <w:shd w:val="clear" w:fill="FFFFFF"/>
        </w:rPr>
        <w:t>严格“三公”经费管理，规范购买服务行为，有效节约预算资金。从严抓实，强化财</w:t>
      </w:r>
      <w:r>
        <w:rPr>
          <w:rFonts w:hint="eastAsia" w:ascii="仿宋" w:hAnsi="仿宋" w:eastAsia="仿宋" w:cs="仿宋"/>
          <w:i w:val="0"/>
          <w:iCs w:val="0"/>
          <w:caps w:val="0"/>
          <w:color w:val="4A4A4A"/>
          <w:spacing w:val="0"/>
          <w:sz w:val="32"/>
          <w:szCs w:val="32"/>
          <w:shd w:val="clear" w:fill="FFFFFF"/>
          <w:lang w:val="en-US" w:eastAsia="zh-CN"/>
        </w:rPr>
        <w:t>务</w:t>
      </w:r>
      <w:r>
        <w:rPr>
          <w:rFonts w:hint="eastAsia" w:ascii="仿宋" w:hAnsi="仿宋" w:eastAsia="仿宋" w:cs="仿宋"/>
          <w:i w:val="0"/>
          <w:iCs w:val="0"/>
          <w:caps w:val="0"/>
          <w:color w:val="4A4A4A"/>
          <w:spacing w:val="0"/>
          <w:sz w:val="32"/>
          <w:szCs w:val="32"/>
          <w:shd w:val="clear" w:fill="FFFFFF"/>
        </w:rPr>
        <w:t>监督。</w:t>
      </w:r>
    </w:p>
    <w:p>
      <w:pPr>
        <w:ind w:firstLine="640" w:firstLineChars="200"/>
        <w:rPr>
          <w:rFonts w:hint="eastAsia" w:ascii="仿宋" w:hAnsi="仿宋" w:eastAsia="仿宋" w:cs="仿宋"/>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、效率性。</w:t>
      </w:r>
      <w:r>
        <w:rPr>
          <w:rFonts w:hint="eastAsia" w:ascii="仿宋" w:hAnsi="仿宋" w:eastAsia="仿宋" w:cs="仿宋"/>
          <w:sz w:val="32"/>
          <w:szCs w:val="32"/>
        </w:rPr>
        <w:t>全年共复排上演了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昭君出塞</w:t>
      </w:r>
      <w:r>
        <w:rPr>
          <w:rFonts w:hint="eastAsia" w:ascii="仿宋" w:hAnsi="仿宋" w:eastAsia="仿宋" w:cs="仿宋"/>
          <w:sz w:val="32"/>
          <w:szCs w:val="32"/>
          <w:lang w:eastAsia="zh-CN"/>
        </w:rPr>
        <w:t>》、</w:t>
      </w:r>
      <w:r>
        <w:rPr>
          <w:rFonts w:hint="eastAsia" w:ascii="仿宋" w:hAnsi="仿宋" w:eastAsia="仿宋" w:cs="仿宋"/>
          <w:sz w:val="32"/>
          <w:szCs w:val="32"/>
        </w:rPr>
        <w:t>《清风亭》、《薛刚反唐》、《审刺客》、《乌金记》、《大破天门阵》等大型传统巴陵戏以及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三支令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失子惊疯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关公盘貂</w:t>
      </w:r>
      <w:r>
        <w:rPr>
          <w:rFonts w:hint="eastAsia" w:ascii="仿宋" w:hAnsi="仿宋" w:eastAsia="仿宋" w:cs="仿宋"/>
          <w:sz w:val="32"/>
          <w:szCs w:val="32"/>
          <w:lang w:eastAsia="zh-CN"/>
        </w:rPr>
        <w:t>》、</w:t>
      </w:r>
      <w:r>
        <w:rPr>
          <w:rFonts w:hint="eastAsia" w:ascii="仿宋" w:hAnsi="仿宋" w:eastAsia="仿宋" w:cs="仿宋"/>
          <w:sz w:val="32"/>
          <w:szCs w:val="32"/>
        </w:rPr>
        <w:t>《秋江》、《打花鼓》、《断桥》、《白水滩》、《女杀四门》</w:t>
      </w:r>
      <w:r>
        <w:rPr>
          <w:rFonts w:hint="eastAsia" w:ascii="仿宋" w:hAnsi="仿宋" w:eastAsia="仿宋" w:cs="仿宋"/>
          <w:sz w:val="32"/>
          <w:szCs w:val="32"/>
          <w:lang w:eastAsia="zh-CN"/>
        </w:rPr>
        <w:t>、</w:t>
      </w:r>
      <w:r>
        <w:rPr>
          <w:rFonts w:hint="eastAsia" w:ascii="仿宋" w:hAnsi="仿宋" w:eastAsia="仿宋" w:cs="仿宋"/>
          <w:sz w:val="32"/>
          <w:szCs w:val="32"/>
        </w:rPr>
        <w:t>《武松打店》、《拦马》等传统经典折子戏。分别在岳阳楼</w:t>
      </w:r>
      <w:r>
        <w:rPr>
          <w:rFonts w:hint="eastAsia" w:ascii="仿宋" w:hAnsi="仿宋" w:eastAsia="仿宋" w:cs="仿宋"/>
          <w:sz w:val="32"/>
          <w:szCs w:val="32"/>
          <w:lang w:val="en-US" w:eastAsia="zh-CN"/>
        </w:rPr>
        <w:t>洞庭南路景区、</w:t>
      </w:r>
      <w:r>
        <w:rPr>
          <w:rFonts w:hint="eastAsia" w:ascii="仿宋" w:hAnsi="仿宋" w:eastAsia="仿宋" w:cs="仿宋"/>
          <w:sz w:val="32"/>
          <w:szCs w:val="32"/>
        </w:rPr>
        <w:t>汴河街景区（岳舞台）</w:t>
      </w:r>
      <w:r>
        <w:rPr>
          <w:rFonts w:hint="eastAsia" w:ascii="仿宋" w:hAnsi="仿宋" w:eastAsia="仿宋" w:cs="仿宋"/>
          <w:sz w:val="32"/>
          <w:szCs w:val="32"/>
          <w:lang w:eastAsia="zh-CN"/>
        </w:rPr>
        <w:t>、</w:t>
      </w:r>
      <w:r>
        <w:rPr>
          <w:rFonts w:hint="eastAsia" w:ascii="仿宋" w:hAnsi="仿宋" w:eastAsia="仿宋" w:cs="仿宋"/>
          <w:sz w:val="32"/>
          <w:szCs w:val="32"/>
        </w:rPr>
        <w:t>茶博城社区剧场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巴陵戏展演中心等</w:t>
      </w:r>
      <w:r>
        <w:rPr>
          <w:rFonts w:hint="eastAsia" w:ascii="仿宋" w:hAnsi="仿宋" w:eastAsia="仿宋" w:cs="仿宋"/>
          <w:sz w:val="32"/>
          <w:szCs w:val="32"/>
        </w:rPr>
        <w:t>演出</w:t>
      </w:r>
      <w:r>
        <w:rPr>
          <w:rFonts w:hint="eastAsia" w:ascii="仿宋" w:hAnsi="仿宋" w:eastAsia="仿宋" w:cs="仿宋"/>
          <w:sz w:val="32"/>
          <w:szCs w:val="32"/>
          <w:lang w:val="en-US" w:eastAsia="zh-CN"/>
        </w:rPr>
        <w:t>100</w:t>
      </w:r>
      <w:r>
        <w:rPr>
          <w:rFonts w:hint="eastAsia" w:ascii="仿宋" w:hAnsi="仿宋" w:eastAsia="仿宋" w:cs="仿宋"/>
          <w:sz w:val="32"/>
          <w:szCs w:val="32"/>
        </w:rPr>
        <w:t>场，</w:t>
      </w:r>
      <w:r>
        <w:rPr>
          <w:rFonts w:hint="eastAsia" w:ascii="仿宋" w:hAnsi="仿宋" w:eastAsia="仿宋" w:cs="仿宋"/>
          <w:sz w:val="32"/>
          <w:szCs w:val="32"/>
          <w:lang w:val="en-US" w:eastAsia="zh-CN"/>
        </w:rPr>
        <w:t>并</w:t>
      </w:r>
      <w:r>
        <w:rPr>
          <w:rFonts w:hint="eastAsia" w:ascii="仿宋" w:hAnsi="仿宋" w:eastAsia="仿宋" w:cs="仿宋"/>
          <w:sz w:val="32"/>
          <w:szCs w:val="32"/>
        </w:rPr>
        <w:t>在巴陵戏青年演员中开展传统巴陵戏剧目教学、巴陵戏理论、传统表演程式培训等</w:t>
      </w:r>
      <w:r>
        <w:rPr>
          <w:rFonts w:hint="eastAsia" w:ascii="仿宋" w:hAnsi="仿宋" w:eastAsia="仿宋" w:cs="仿宋"/>
          <w:sz w:val="32"/>
          <w:szCs w:val="32"/>
          <w:lang w:val="en-US" w:eastAsia="zh-CN"/>
        </w:rPr>
        <w:t>，</w:t>
      </w:r>
      <w:r>
        <w:rPr>
          <w:rFonts w:hint="eastAsia" w:ascii="仿宋" w:hAnsi="仿宋" w:eastAsia="仿宋" w:cs="仿宋"/>
          <w:sz w:val="32"/>
          <w:szCs w:val="32"/>
        </w:rPr>
        <w:t>共计</w:t>
      </w:r>
      <w:r>
        <w:rPr>
          <w:rFonts w:hint="eastAsia" w:ascii="仿宋" w:hAnsi="仿宋" w:eastAsia="仿宋" w:cs="仿宋"/>
          <w:sz w:val="32"/>
          <w:szCs w:val="32"/>
          <w:lang w:val="en-US" w:eastAsia="zh-CN"/>
        </w:rPr>
        <w:t>60</w:t>
      </w:r>
      <w:r>
        <w:rPr>
          <w:rFonts w:hint="eastAsia" w:ascii="仿宋" w:hAnsi="仿宋" w:eastAsia="仿宋" w:cs="仿宋"/>
          <w:sz w:val="32"/>
          <w:szCs w:val="32"/>
        </w:rPr>
        <w:t>课时。</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w:t>
      </w:r>
      <w:r>
        <w:rPr>
          <w:rFonts w:hint="eastAsia" w:ascii="楷体" w:hAnsi="楷体" w:eastAsia="楷体" w:cs="楷体"/>
          <w:sz w:val="32"/>
          <w:szCs w:val="32"/>
        </w:rPr>
        <w:t>、项目效益性。</w:t>
      </w:r>
      <w:r>
        <w:rPr>
          <w:rFonts w:hint="eastAsia" w:ascii="仿宋" w:hAnsi="仿宋" w:eastAsia="仿宋" w:cs="仿宋"/>
          <w:sz w:val="32"/>
          <w:szCs w:val="32"/>
        </w:rPr>
        <w:t>在项目的实施过程中，我院始终秉持传承和发展巴陵戏这一宗旨，以公益演出为抓手，广泛收集传统戏剧目资料并加以规范整理，去除糟粕、保留精华。在保留本剧种声腔、语言、独特表演程式的前提下努力探索创新路子。在传统剧目演出过程中，我院采取的是代表性传承人代表性剧目演出（40%以上）、青年演员学演剧目演出（30%）以及老带新同台演出（30%）轮流上演的方式进行。既充分展示了传统巴陵戏的艺术魅力、代表性传承人的艺术风采，同时也为青年演员提供了较多的舞台实践机会，进而达到了公益惠民、传承普及、培养新人的有效目的。</w:t>
      </w:r>
    </w:p>
    <w:p>
      <w:pPr>
        <w:ind w:firstLine="640" w:firstLineChars="200"/>
        <w:rPr>
          <w:rFonts w:hint="eastAsia" w:ascii="仿宋" w:hAnsi="仿宋" w:eastAsia="仿宋" w:cs="仿宋"/>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、项目</w:t>
      </w:r>
      <w:r>
        <w:rPr>
          <w:rFonts w:hint="eastAsia" w:ascii="楷体" w:hAnsi="楷体" w:eastAsia="楷体" w:cs="楷体"/>
          <w:sz w:val="32"/>
          <w:szCs w:val="32"/>
          <w:lang w:val="en-US" w:eastAsia="zh-CN"/>
        </w:rPr>
        <w:t>公益</w:t>
      </w:r>
      <w:r>
        <w:rPr>
          <w:rFonts w:hint="eastAsia" w:ascii="楷体" w:hAnsi="楷体" w:eastAsia="楷体" w:cs="楷体"/>
          <w:sz w:val="32"/>
          <w:szCs w:val="32"/>
        </w:rPr>
        <w:t>性。</w:t>
      </w:r>
      <w:r>
        <w:rPr>
          <w:rFonts w:hint="eastAsia" w:ascii="仿宋" w:hAnsi="仿宋" w:eastAsia="仿宋" w:cs="仿宋"/>
          <w:sz w:val="32"/>
          <w:szCs w:val="32"/>
          <w:lang w:val="en-US" w:eastAsia="zh-CN"/>
        </w:rPr>
        <w:t>为了进一步提升服务意识，了解观众需求，我院开展了一次2023年度观众满意度调查，根据回收的数据，观众好评度为百分之一百。</w:t>
      </w:r>
      <w:r>
        <w:rPr>
          <w:rFonts w:hint="eastAsia" w:ascii="仿宋" w:hAnsi="仿宋" w:eastAsia="仿宋" w:cs="仿宋"/>
          <w:sz w:val="32"/>
          <w:szCs w:val="32"/>
        </w:rPr>
        <w:t>通过全年在景区、社区开展的公益惠民演出，惠及观众达</w:t>
      </w:r>
      <w:r>
        <w:rPr>
          <w:rFonts w:hint="eastAsia" w:ascii="仿宋" w:hAnsi="仿宋" w:eastAsia="仿宋" w:cs="仿宋"/>
          <w:sz w:val="32"/>
          <w:szCs w:val="32"/>
          <w:lang w:val="en-US" w:eastAsia="zh-CN"/>
        </w:rPr>
        <w:t>数</w:t>
      </w:r>
      <w:r>
        <w:rPr>
          <w:rFonts w:hint="eastAsia" w:ascii="仿宋" w:hAnsi="仿宋" w:eastAsia="仿宋" w:cs="仿宋"/>
          <w:sz w:val="32"/>
          <w:szCs w:val="32"/>
        </w:rPr>
        <w:t>万人次，深受观众的欢迎和喜爱，取得良好社会效益。为了进一步扩大社会影响，我院通过</w:t>
      </w:r>
      <w:r>
        <w:rPr>
          <w:rFonts w:hint="eastAsia" w:ascii="仿宋" w:hAnsi="仿宋" w:eastAsia="仿宋" w:cs="仿宋"/>
          <w:sz w:val="32"/>
          <w:szCs w:val="32"/>
          <w:lang w:val="en-US" w:eastAsia="zh-CN"/>
        </w:rPr>
        <w:t>线上微信公共号、自媒体和线下电视、电台，</w:t>
      </w:r>
      <w:r>
        <w:rPr>
          <w:rFonts w:hint="eastAsia" w:ascii="仿宋" w:hAnsi="仿宋" w:eastAsia="仿宋" w:cs="仿宋"/>
          <w:sz w:val="32"/>
          <w:szCs w:val="32"/>
        </w:rPr>
        <w:t>定期发布“戏讯”、发表演出动态文章等形式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对非遗巴陵戏文化</w:t>
      </w:r>
      <w:r>
        <w:rPr>
          <w:rFonts w:hint="eastAsia" w:ascii="仿宋" w:hAnsi="仿宋" w:eastAsia="仿宋" w:cs="仿宋"/>
          <w:sz w:val="32"/>
          <w:szCs w:val="32"/>
        </w:rPr>
        <w:t>进行广泛宣传，颇具成效。周末逛景区</w:t>
      </w:r>
      <w:r>
        <w:rPr>
          <w:rFonts w:hint="eastAsia" w:ascii="仿宋" w:hAnsi="仿宋" w:eastAsia="仿宋" w:cs="仿宋"/>
          <w:sz w:val="32"/>
          <w:szCs w:val="32"/>
          <w:lang w:eastAsia="zh-CN"/>
        </w:rPr>
        <w:t>、</w:t>
      </w:r>
      <w:r>
        <w:rPr>
          <w:rFonts w:hint="eastAsia" w:ascii="仿宋" w:hAnsi="仿宋" w:eastAsia="仿宋" w:cs="仿宋"/>
          <w:sz w:val="32"/>
          <w:szCs w:val="32"/>
        </w:rPr>
        <w:t>社区看巴陵戏、去</w:t>
      </w:r>
      <w:r>
        <w:rPr>
          <w:rFonts w:hint="eastAsia" w:ascii="仿宋" w:hAnsi="仿宋" w:eastAsia="仿宋" w:cs="仿宋"/>
          <w:sz w:val="32"/>
          <w:szCs w:val="32"/>
          <w:lang w:val="en-US" w:eastAsia="zh-CN"/>
        </w:rPr>
        <w:t>巴陵戏展演中心</w:t>
      </w:r>
      <w:r>
        <w:rPr>
          <w:rFonts w:hint="eastAsia" w:ascii="仿宋" w:hAnsi="仿宋" w:eastAsia="仿宋" w:cs="仿宋"/>
          <w:sz w:val="32"/>
          <w:szCs w:val="32"/>
        </w:rPr>
        <w:t>看巴陵戏已逐渐成为部分市民的生活常态。</w:t>
      </w:r>
    </w:p>
    <w:p>
      <w:pPr>
        <w:pStyle w:val="7"/>
        <w:widowControl/>
        <w:spacing w:line="60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pPr>
        <w:widowControl/>
        <w:spacing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部分项目未按计划开展。因下半年我院国家艺术基金项目《共饮一江水》首演、岳阳市第五届艺术节开幕大戏、承接艺术节非遗等几大板块的文艺展演和闭幕晚会，部分项目未能如期开展，导致项目资金无法支出，影响资金使用效益。</w:t>
      </w:r>
    </w:p>
    <w:p>
      <w:pPr>
        <w:widowControl/>
        <w:spacing w:line="600" w:lineRule="exact"/>
        <w:ind w:firstLine="640" w:firstLineChars="200"/>
        <w:jc w:val="left"/>
        <w:rPr>
          <w:rFonts w:hint="default"/>
        </w:rPr>
      </w:pPr>
      <w:r>
        <w:rPr>
          <w:rFonts w:hint="eastAsia" w:ascii="仿宋" w:hAnsi="仿宋" w:eastAsia="仿宋" w:cs="仿宋"/>
          <w:sz w:val="32"/>
          <w:szCs w:val="32"/>
          <w:lang w:val="en-US" w:eastAsia="zh-CN"/>
        </w:rPr>
        <w:t>二、</w:t>
      </w:r>
      <w:r>
        <w:rPr>
          <w:rFonts w:hint="eastAsia" w:ascii="仿宋" w:hAnsi="仿宋" w:eastAsia="仿宋" w:cs="仿宋"/>
          <w:sz w:val="32"/>
          <w:szCs w:val="32"/>
        </w:rPr>
        <w:t>总体绩效目标设置基本合理，</w:t>
      </w:r>
      <w:r>
        <w:rPr>
          <w:rFonts w:hint="eastAsia" w:ascii="仿宋" w:hAnsi="仿宋" w:eastAsia="仿宋" w:cs="仿宋"/>
          <w:sz w:val="32"/>
          <w:szCs w:val="32"/>
          <w:lang w:val="en-US" w:eastAsia="zh-CN"/>
        </w:rPr>
        <w:t>预算编制测算还不够精确，编制依据和测算深度不够，</w:t>
      </w:r>
      <w:r>
        <w:rPr>
          <w:rFonts w:hint="eastAsia" w:ascii="仿宋" w:hAnsi="仿宋" w:eastAsia="仿宋" w:cs="仿宋"/>
          <w:sz w:val="32"/>
          <w:szCs w:val="32"/>
        </w:rPr>
        <w:t>年初未将绩效目标分解为清晰、可衡量的绩效指标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实际执行与项目预算绩效存在偏差。</w:t>
      </w:r>
    </w:p>
    <w:p>
      <w:pPr>
        <w:widowControl/>
        <w:spacing w:line="600" w:lineRule="exact"/>
        <w:ind w:firstLine="640" w:firstLineChars="200"/>
        <w:jc w:val="left"/>
        <w:rPr>
          <w:rFonts w:hint="eastAsia" w:ascii="仿宋" w:hAnsi="仿宋" w:eastAsia="仿宋" w:cs="仿宋"/>
          <w:i w:val="0"/>
          <w:iCs w:val="0"/>
          <w:caps w:val="0"/>
          <w:color w:val="333333"/>
          <w:spacing w:val="0"/>
          <w:sz w:val="32"/>
          <w:szCs w:val="32"/>
        </w:rPr>
      </w:pPr>
      <w:r>
        <w:rPr>
          <w:rFonts w:hint="default" w:ascii="Times New Roman" w:hAnsi="Times New Roman" w:eastAsia="黑体" w:cs="Times New Roman"/>
          <w:sz w:val="32"/>
          <w:szCs w:val="32"/>
        </w:rPr>
        <w:t>八、下一步改进措施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leftChars="0" w:right="0" w:firstLine="640" w:firstLineChars="200"/>
        <w:textAlignment w:val="center"/>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细化预算编制工作，认真做好预算的编制。进一步加强单位预算管理意识，严格按照预算编制的相关制度和要求进行预算编制。提高预算编制的科学性、严谨性和可控性，加强内部预算编制的审核和预算指标的下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leftChars="0" w:right="0" w:firstLine="640" w:firstLineChars="200"/>
        <w:textAlignment w:val="center"/>
        <w:rPr>
          <w:rFonts w:hint="default" w:ascii="Times New Roman" w:hAnsi="Times New Roman" w:eastAsia="黑体" w:cs="Times New Roman"/>
          <w:sz w:val="32"/>
          <w:szCs w:val="32"/>
        </w:rPr>
      </w:pPr>
      <w:r>
        <w:rPr>
          <w:rFonts w:hint="eastAsia" w:ascii="仿宋" w:hAnsi="仿宋" w:eastAsia="仿宋" w:cs="仿宋"/>
          <w:i w:val="0"/>
          <w:iCs w:val="0"/>
          <w:caps w:val="0"/>
          <w:color w:val="333333"/>
          <w:spacing w:val="0"/>
          <w:sz w:val="32"/>
          <w:szCs w:val="32"/>
          <w:shd w:val="clear" w:fill="FFFFFF"/>
        </w:rPr>
        <w:t>单位尽可能</w:t>
      </w:r>
      <w:r>
        <w:rPr>
          <w:rFonts w:hint="eastAsia" w:ascii="仿宋" w:hAnsi="仿宋" w:eastAsia="仿宋" w:cs="仿宋"/>
          <w:i w:val="0"/>
          <w:iCs w:val="0"/>
          <w:caps w:val="0"/>
          <w:color w:val="333333"/>
          <w:spacing w:val="0"/>
          <w:sz w:val="32"/>
          <w:szCs w:val="32"/>
          <w:shd w:val="clear" w:fill="FFFFFF"/>
          <w:lang w:val="en-US" w:eastAsia="zh-CN"/>
        </w:rPr>
        <w:t>加快文艺作品的审核申报、演出生产</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推动项目按计划实施，</w:t>
      </w:r>
      <w:r>
        <w:rPr>
          <w:rFonts w:hint="eastAsia" w:ascii="仿宋" w:hAnsi="仿宋" w:eastAsia="仿宋" w:cs="仿宋"/>
          <w:i w:val="0"/>
          <w:iCs w:val="0"/>
          <w:caps w:val="0"/>
          <w:color w:val="333333"/>
          <w:spacing w:val="0"/>
          <w:sz w:val="32"/>
          <w:szCs w:val="32"/>
          <w:shd w:val="clear" w:fill="FFFFFF"/>
        </w:rPr>
        <w:t>减少年底结转结余资金，以有效提高预算完成率。</w:t>
      </w:r>
    </w:p>
    <w:p>
      <w:pPr>
        <w:widowControl/>
        <w:spacing w:line="600" w:lineRule="exact"/>
        <w:ind w:firstLine="645"/>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九、部门整体支出绩效自评结果拟应用和公开情况</w:t>
      </w:r>
    </w:p>
    <w:p>
      <w:pPr>
        <w:ind w:firstLine="640" w:firstLineChars="200"/>
        <w:rPr>
          <w:rFonts w:hint="default" w:ascii="Times New Roman" w:hAnsi="Times New Roman" w:eastAsia="黑体" w:cs="Times New Roman"/>
          <w:sz w:val="32"/>
          <w:szCs w:val="32"/>
        </w:rPr>
      </w:pPr>
      <w:r>
        <w:rPr>
          <w:rFonts w:hint="eastAsia" w:ascii="仿宋_GB2312" w:eastAsia="仿宋_GB2312"/>
          <w:sz w:val="32"/>
          <w:szCs w:val="32"/>
          <w:lang w:val="en-US" w:eastAsia="zh-CN"/>
        </w:rPr>
        <w:t>根据市财政相关部门统一部署，我院2023</w:t>
      </w:r>
      <w:r>
        <w:rPr>
          <w:rFonts w:hint="eastAsia" w:ascii="楷体" w:hAnsi="楷体" w:eastAsia="楷体" w:cs="楷体"/>
          <w:sz w:val="32"/>
          <w:szCs w:val="32"/>
          <w:lang w:val="en-US" w:eastAsia="zh-CN"/>
        </w:rPr>
        <w:t>年部门整体支出绩效自评情况将在岳阳市政府门户网站公开，接受社会监督。对绩效自评工作中发现的问题及时整改，解决好绩效评价管理中存在的问题，提高工作效能。根据部门整体支出绩效评价标准，2023年我院部门整体绩效评价自评为优。</w:t>
      </w:r>
    </w:p>
    <w:p>
      <w:pPr>
        <w:widowControl/>
        <w:spacing w:line="600" w:lineRule="exact"/>
        <w:ind w:firstLine="645"/>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其他</w:t>
      </w:r>
      <w:r>
        <w:rPr>
          <w:rFonts w:hint="eastAsia" w:ascii="Times New Roman" w:hAnsi="Times New Roman" w:eastAsia="黑体" w:cs="Times New Roman"/>
          <w:sz w:val="32"/>
          <w:szCs w:val="32"/>
          <w:lang w:eastAsia="zh-CN"/>
        </w:rPr>
        <w:t>无</w:t>
      </w:r>
      <w:r>
        <w:rPr>
          <w:rFonts w:hint="default" w:ascii="Times New Roman" w:hAnsi="Times New Roman" w:eastAsia="黑体" w:cs="Times New Roman"/>
          <w:sz w:val="32"/>
          <w:szCs w:val="32"/>
        </w:rPr>
        <w:t>需要说明的情况</w:t>
      </w:r>
      <w:r>
        <w:rPr>
          <w:rFonts w:hint="eastAsia" w:ascii="Times New Roman" w:hAnsi="Times New Roman" w:eastAsia="黑体" w:cs="Times New Roman"/>
          <w:sz w:val="32"/>
          <w:szCs w:val="32"/>
          <w:lang w:eastAsia="zh-CN"/>
        </w:rPr>
        <w:t>。</w:t>
      </w:r>
    </w:p>
    <w:p/>
    <w:p>
      <w:pPr>
        <w:jc w:val="center"/>
        <w:rPr>
          <w:rFonts w:hint="default" w:ascii="Times New Roman" w:hAnsi="Times New Roman" w:eastAsia="方正小标宋_GBK" w:cs="Times New Roman"/>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AE9D28-0D87-4DEF-A56B-5E7329C82A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607B731-CB6F-4479-B4B5-0B22C5041C32}"/>
  </w:font>
  <w:font w:name="方正小标宋_GBK">
    <w:panose1 w:val="02000000000000000000"/>
    <w:charset w:val="86"/>
    <w:family w:val="script"/>
    <w:pitch w:val="default"/>
    <w:sig w:usb0="A00002BF" w:usb1="38CF7CFA" w:usb2="00082016" w:usb3="00000000" w:csb0="00040001" w:csb1="00000000"/>
    <w:embedRegular r:id="rId3" w:fontKey="{87A28ACD-3714-49C4-BABA-E7463E4E5816}"/>
  </w:font>
  <w:font w:name="仿宋_GB2312">
    <w:panose1 w:val="02010609030101010101"/>
    <w:charset w:val="86"/>
    <w:family w:val="modern"/>
    <w:pitch w:val="default"/>
    <w:sig w:usb0="00000001" w:usb1="080E0000" w:usb2="00000000" w:usb3="00000000" w:csb0="00040000" w:csb1="00000000"/>
    <w:embedRegular r:id="rId4" w:fontKey="{A954390A-E0E3-4580-93D2-8FE8A3430D86}"/>
  </w:font>
  <w:font w:name="楷体_GB2312">
    <w:panose1 w:val="02010609030101010101"/>
    <w:charset w:val="86"/>
    <w:family w:val="auto"/>
    <w:pitch w:val="default"/>
    <w:sig w:usb0="00000001" w:usb1="080E0000" w:usb2="00000000" w:usb3="00000000" w:csb0="00040000" w:csb1="00000000"/>
    <w:embedRegular r:id="rId5" w:fontKey="{AEB1BA6F-D008-41D4-9590-7E01F3577572}"/>
  </w:font>
  <w:font w:name="仿宋">
    <w:panose1 w:val="02010609060101010101"/>
    <w:charset w:val="86"/>
    <w:family w:val="auto"/>
    <w:pitch w:val="default"/>
    <w:sig w:usb0="800002BF" w:usb1="38CF7CFA" w:usb2="00000016" w:usb3="00000000" w:csb0="00040001" w:csb1="00000000"/>
    <w:embedRegular r:id="rId6" w:fontKey="{BFB8DBB8-D7B6-40BB-BE75-07319BEC3001}"/>
  </w:font>
  <w:font w:name="楷体">
    <w:panose1 w:val="02010609060101010101"/>
    <w:charset w:val="86"/>
    <w:family w:val="auto"/>
    <w:pitch w:val="default"/>
    <w:sig w:usb0="800002BF" w:usb1="38CF7CFA" w:usb2="00000016" w:usb3="00000000" w:csb0="00040001" w:csb1="00000000"/>
    <w:embedRegular r:id="rId7" w:fontKey="{04A7AC68-2D65-41C5-A9E4-55D9B913822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C27F7"/>
    <w:multiLevelType w:val="singleLevel"/>
    <w:tmpl w:val="C85C27F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NDE1ZTc5N2NhM2Q5MjE1ZDAyNGIzOWQzY2I4MjQifQ=="/>
  </w:docVars>
  <w:rsids>
    <w:rsidRoot w:val="34000BBF"/>
    <w:rsid w:val="0E40054B"/>
    <w:rsid w:val="1AB505D0"/>
    <w:rsid w:val="34000BBF"/>
    <w:rsid w:val="46A65722"/>
    <w:rsid w:val="4F3F2E1E"/>
    <w:rsid w:val="541B4188"/>
    <w:rsid w:val="6146003C"/>
    <w:rsid w:val="6BB26250"/>
    <w:rsid w:val="7490224A"/>
    <w:rsid w:val="74D53729"/>
    <w:rsid w:val="7F201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3111</Words>
  <Characters>3282</Characters>
  <Lines>0</Lines>
  <Paragraphs>0</Paragraphs>
  <TotalTime>3</TotalTime>
  <ScaleCrop>false</ScaleCrop>
  <LinksUpToDate>false</LinksUpToDate>
  <CharactersWithSpaces>3295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2024-03-11T02:34:00Z</dcterms:created>
  <dc:creator>许帝</dc:creator>
  <cp:lastModifiedBy>许帝</cp:lastModifiedBy>
  <cp:lastPrinted>2024-06-25T09:18:59Z</cp:lastPrinted>
  <dcterms:modified xsi:type="dcterms:W3CDTF">2024-06-25T09:19:05Z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359612F3B8F844B6B0BF9BA02342B8BE_13</vt:lpwstr>
  </property>
</Properties>
</file>