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年度部门整体支出绩效评价基础数据表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1596" w:leftChars="57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直预算部门整体支出绩效自评报告 （统一参考格式）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部门整体支出绩效自评工作考核评分表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3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文化综合发展资金：高雅艺术惠民演出政府财政专项补贴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9.75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20.21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135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190.62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0.2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        填报日期：          联系电话：            单位负责人签字：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3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岳阳市文化艺术会展中心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734.05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734.05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1130.17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734.05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810.19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319.98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400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根据市委市政府的要求完成各项会议、演出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会议800场、演出6场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保障中心设施设备正常运行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12月31日之前完成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12月31日之前完成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不超过年初预算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控制在预算之内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不断提高服务水平、提升中心社会地位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惠民演出至少2月一次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推动中心各项工作平稳发展，确保中心安全经济运行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保持中心持续稳定运行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服务对象满意度达95%以上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满意度98%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文化综合发展资金：高雅艺术惠民演出政府财政专项补贴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岳阳市文化旅游广播电视局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岳阳文化艺术会展中心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0" w:name="_GoBack" w:colFirst="3" w:colLast="7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全年完成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6场演出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现场效果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12个月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12个月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50万以内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控制在预算内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门票收入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容纳人数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每场不少于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500人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每场大于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500人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提升剧场硬件水平，改善剧场环境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大大提升市民市民文化水平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观看人员满意度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活动主办方满意度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岳阳文化艺术会展中心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（盖章）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年 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 月 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 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（此页为封面）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岳阳文化艺术会展中心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部门（单位）基本情况</w:t>
      </w:r>
    </w:p>
    <w:p>
      <w:pPr>
        <w:spacing w:line="560" w:lineRule="exact"/>
        <w:ind w:firstLine="840" w:firstLineChars="3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</w:rPr>
        <w:t>岳阳文化艺术会展中心是市委、市政府投资兴建的文化惠民工程，于2008年9月底投入运行，是集演出、会议、展览于一体的多功能场馆，占地面积135亩，建筑面积43000平方米。一层设有1176个软席座的大剧场和439个软席座的小剧场，以及电视电话会议室、贵宾厅。二楼有新闻发布厅、党委视频会议室和政府常务会议室。三楼的岳阳市规划展览馆和岳阳市美术馆免费对外开放。中心是市文广新局下属正科级</w:t>
      </w:r>
      <w:r>
        <w:rPr>
          <w:rFonts w:hint="eastAsia" w:ascii="宋体" w:hAnsi="宋体" w:cs="宋体"/>
          <w:bCs/>
          <w:sz w:val="28"/>
          <w:szCs w:val="28"/>
          <w:u w:val="none"/>
          <w:lang w:val="en-US" w:eastAsia="zh-CN"/>
        </w:rPr>
        <w:t>全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额拨款的公益性事业单位，正式职工</w:t>
      </w:r>
      <w:r>
        <w:rPr>
          <w:rFonts w:hint="eastAsia" w:ascii="宋体" w:hAnsi="宋体" w:cs="宋体"/>
          <w:bCs/>
          <w:sz w:val="28"/>
          <w:szCs w:val="28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人，临聘人员</w:t>
      </w:r>
      <w:r>
        <w:rPr>
          <w:rFonts w:hint="eastAsia" w:ascii="宋体" w:hAnsi="宋体" w:cs="宋体"/>
          <w:bCs/>
          <w:sz w:val="28"/>
          <w:szCs w:val="28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人。作为我市的标志性文化基础设施，承担着引进高雅艺术，进行中外文化交流，举行重要会议，培育文化艺术消费市场等社会公益职能。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（一）基本支出情况</w:t>
      </w:r>
    </w:p>
    <w:p>
      <w:pPr>
        <w:spacing w:line="560" w:lineRule="exact"/>
        <w:ind w:firstLine="840" w:firstLineChars="300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基本支出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810.19</w:t>
      </w:r>
      <w:r>
        <w:rPr>
          <w:rFonts w:hint="eastAsia" w:ascii="宋体" w:hAnsi="宋体" w:eastAsia="宋体" w:cs="宋体"/>
          <w:bCs/>
          <w:sz w:val="28"/>
          <w:szCs w:val="28"/>
        </w:rPr>
        <w:t>万元，其中人员经费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56.36</w:t>
      </w:r>
      <w:r>
        <w:rPr>
          <w:rFonts w:hint="eastAsia" w:ascii="宋体" w:hAnsi="宋体" w:eastAsia="宋体" w:cs="宋体"/>
          <w:bCs/>
          <w:sz w:val="28"/>
          <w:szCs w:val="28"/>
        </w:rPr>
        <w:t>万元（包括人员工资、社会保障金等），公用支出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494.21</w:t>
      </w:r>
      <w:r>
        <w:rPr>
          <w:rFonts w:hint="eastAsia" w:ascii="宋体" w:hAnsi="宋体" w:eastAsia="宋体" w:cs="宋体"/>
          <w:bCs/>
          <w:sz w:val="28"/>
          <w:szCs w:val="28"/>
        </w:rPr>
        <w:t>万元，其中：物业管理费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77.5</w:t>
      </w:r>
      <w:r>
        <w:rPr>
          <w:rFonts w:hint="eastAsia" w:ascii="宋体" w:hAnsi="宋体" w:eastAsia="宋体" w:cs="宋体"/>
          <w:bCs/>
          <w:sz w:val="28"/>
          <w:szCs w:val="28"/>
        </w:rPr>
        <w:t>万、电费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101.15</w:t>
      </w:r>
      <w:r>
        <w:rPr>
          <w:rFonts w:hint="eastAsia" w:ascii="宋体" w:hAnsi="宋体" w:eastAsia="宋体" w:cs="宋体"/>
          <w:bCs/>
          <w:sz w:val="28"/>
          <w:szCs w:val="28"/>
        </w:rPr>
        <w:t>万、水费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28"/>
          <w:szCs w:val="28"/>
        </w:rPr>
        <w:t>万、维修费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84.07</w:t>
      </w:r>
      <w:r>
        <w:rPr>
          <w:rFonts w:hint="eastAsia" w:ascii="宋体" w:hAnsi="宋体" w:eastAsia="宋体" w:cs="宋体"/>
          <w:bCs/>
          <w:sz w:val="28"/>
          <w:szCs w:val="28"/>
        </w:rPr>
        <w:t>万、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劳务费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99.72</w:t>
      </w:r>
      <w:r>
        <w:rPr>
          <w:rFonts w:hint="eastAsia" w:ascii="宋体" w:hAnsi="宋体" w:eastAsia="宋体" w:cs="宋体"/>
          <w:bCs/>
          <w:sz w:val="28"/>
          <w:szCs w:val="28"/>
        </w:rPr>
        <w:t>、公用经费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21.77</w:t>
      </w:r>
      <w:r>
        <w:rPr>
          <w:rFonts w:hint="eastAsia" w:ascii="宋体" w:hAnsi="宋体" w:eastAsia="宋体" w:cs="宋体"/>
          <w:bCs/>
          <w:sz w:val="28"/>
          <w:szCs w:val="28"/>
        </w:rPr>
        <w:t>万元（包括宣传费、办公费、税金、工会经费及其他费用等）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,资本性支出159.62万元（包括办公设备购置和专用设备购置）。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项目支出情况</w:t>
      </w:r>
    </w:p>
    <w:p>
      <w:pPr>
        <w:spacing w:line="600" w:lineRule="exact"/>
        <w:ind w:firstLine="643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highlight w:val="none"/>
          <w:lang w:val="en-US" w:eastAsia="zh-CN"/>
        </w:rPr>
        <w:t>2023年专项资金使用拨款50万元。其中，用于“文化综合发展资金：高雅艺术惠民演出政府财政专项补贴”。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三、政府性基金预算支出情况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国有资本经营预算支出情况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  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六、部门整体支出绩效情况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中心主要承担着高雅艺术演出、进行中外文化交流、举行重要会议、培育文化艺术消费市场等社会公益职能。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确保中心各项设施、设备安全正常运行。确保中心举办的各类活动安全、有序开展。全年举办高水准“高雅艺术惠民演出”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场以上。细致周密做好全市各项重大会议接待服务工作。进一步完善设施设备，完成中心电子监控系统升级改造。、20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年我中心圆满完成各类会议、演出、展览等活动总计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700余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场次。全年各类活动有序开展，设备、设施安全正常运行，无安全事故发生。全年举办高水准“高雅艺术惠民演出”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场，提升了城市文化品味，丰富了市民精神文化生活。20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年中心共完成非税收入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360余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万元。全面完成了会议室升级改造工程，并已投入使用。完成了中心电子监控系统升级改造，确保安全，全方位监控。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eastAsia="黑体"/>
          <w:sz w:val="32"/>
          <w:szCs w:val="32"/>
        </w:rPr>
        <w:t>存在的问题及原因分析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中心运行近十四年，各类活动举办日益频繁，各类设备设施使用频率高，使用年限较长，设备故障频发。加之一些设备设施已经落后陈旧，满足不了中心工作开展的需要。</w:t>
      </w:r>
    </w:p>
    <w:p>
      <w:pPr>
        <w:numPr>
          <w:ilvl w:val="0"/>
          <w:numId w:val="5"/>
        </w:numPr>
        <w:spacing w:line="600" w:lineRule="exact"/>
        <w:ind w:firstLine="64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eastAsia="黑体"/>
          <w:sz w:val="32"/>
          <w:szCs w:val="32"/>
        </w:rPr>
        <w:t>下一步改进措施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克服自身不足，认真学习，提高创新意识，严格自律，为我市文化事业持续健康发展做出更大的贡献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建议增加经费预算，加大对设备，设施维修力度的投入，确保中心安全，高校运行。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部门整体支出绩效自评结果拟应用和公开情况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年我中心整体支出绩效自评结果100分，拟定7月中下旬在本部门，单位的门户网站公开，接受社会监督。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报告需要以下附件：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项目支出绩效自评表（一个一级项目支出一张表）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社会保险基金预算支出情况表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</w:p>
    <w:p>
      <w:pPr>
        <w:spacing w:before="120" w:beforeLines="50" w:after="120" w:afterLines="5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  <w:t>绩效自评工作考核评分表</w:t>
      </w:r>
    </w:p>
    <w:tbl>
      <w:tblPr>
        <w:tblStyle w:val="3"/>
        <w:tblW w:w="9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4"/>
        <w:gridCol w:w="5000"/>
        <w:gridCol w:w="3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所需佐证材料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布置工作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自评通知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（8分）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印发绩效自评通知的得2分，否则不得分。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按照本规程规定，绩效自评通知包括自评范围、自评主要依据、自评主要内容、自评程序和步骤、有关要求等内容，并附有本通知要求的附件的，得6分；否则缺1项扣1分，最多扣6分。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绩效自评通知盖章的电子版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工作小组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成立绩效自评工作小组的得2分，否则不得分。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本部门、本单位预算绩效管理领导小组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绩效评价工作小组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盖章的电子版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实施评价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单位自查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预算部门本级和所属单位都要开展绩效自查，转移支付项目单位都要开展绩效自查，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县、区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级主管部门都要汇总本区域转移支付情况；以上各项每发现一个单位没有做相应工作的，扣1分，最多扣10分。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转移支付项目单位名称和资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金情况清单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有转移支付资金的各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主管部门汇总情况的盖章PDF版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提交报告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按时向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市财政局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报送报告的得10分；每推迟一个工作日报送报告的扣1分，最多扣10分。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自评报告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70分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完整性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绩效自评报告正文部分内容齐全的，得8分；否则每少一个部分扣2分，最多扣8分。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绩效自评报告附件部分内容齐全的，得7分；否则每少一个部分扣2分，最多扣7分。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1、部门整体支出和项目支出绩效指标反映产出、效益、服务对象满意度方面的指标和预算执行率的权重符合《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岳阳市市级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预算部门绩效自评操作规程》要求的，得5分，否则按比例扣除相应的分数。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部门整体支出和项目支出绩效指标全部细化到三级指标的，得5分；部分细化的，酌情扣分；没有细化的，不得分。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三级绩效指标内涵明确、具体、可衡量的得5分；突出核心指标，精简实用的得3分；指标与部门整体支出和项目支出密切相关，全面反映产出和效益的得2分；否则，每项酌情扣分，最多扣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反映问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题情况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从预算和预算绩效管理，部门履职效能，资金分配、使用和管理，资产和财务管理，政府采购等方面归纳问题、分析原因全面的，得20分；反映问题、分析原因较全面的，得16—18分；反映问题、分析原因不全面的，得13—15分；问题未归纳且过于简单的，得10—12分；只提出资金不足问题的不得分；其他情况酌情扣分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建议与问题对应且全面的得15分，建议比较全面的得12—14分，建议不全面的得9—11分，建议过于简单的得6—8分，只提出加大资金投入建议的不得分；其他情况酌情扣分。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100分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6F962"/>
    <w:multiLevelType w:val="singleLevel"/>
    <w:tmpl w:val="8E36F96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C80B256"/>
    <w:multiLevelType w:val="singleLevel"/>
    <w:tmpl w:val="AC80B2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58F74DA"/>
    <w:multiLevelType w:val="singleLevel"/>
    <w:tmpl w:val="B58F74D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9705B9E"/>
    <w:multiLevelType w:val="singleLevel"/>
    <w:tmpl w:val="D9705B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DDF8822"/>
    <w:multiLevelType w:val="singleLevel"/>
    <w:tmpl w:val="5DDF882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F361ACE"/>
    <w:multiLevelType w:val="singleLevel"/>
    <w:tmpl w:val="7F361AC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TE1ZjA0MTQyYWRlYjhlMzY5MzQ1YjZkMTAxMTQifQ=="/>
  </w:docVars>
  <w:rsids>
    <w:rsidRoot w:val="59886344"/>
    <w:rsid w:val="235F5258"/>
    <w:rsid w:val="4B5B0BA5"/>
    <w:rsid w:val="59886344"/>
    <w:rsid w:val="5F1574AA"/>
    <w:rsid w:val="64641094"/>
    <w:rsid w:val="69565849"/>
    <w:rsid w:val="6F2170D2"/>
    <w:rsid w:val="760B0698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2595</Words>
  <Characters>2712</Characters>
  <Lines>0</Lines>
  <Paragraphs>0</Paragraphs>
  <TotalTime>17</TotalTime>
  <ScaleCrop>false</ScaleCrop>
  <LinksUpToDate>false</LinksUpToDate>
  <CharactersWithSpaces>3270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win7</cp:lastModifiedBy>
  <dcterms:modified xsi:type="dcterms:W3CDTF">2024-06-28T03:40:28Z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BB23AC76B88C4EA1812F33504B9B98EE_13</vt:lpwstr>
  </property>
</Properties>
</file>