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jc w:val="center"/>
        <w:rPr>
          <w:rFonts w:hint="default" w:ascii="Times New Roman" w:hAnsi="Times New Roman" w:eastAsia="方正小标宋_GBK" w:cs="Times New Roman"/>
          <w:sz w:val="52"/>
          <w:szCs w:val="52"/>
          <w:highlight w:val="none"/>
        </w:r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岳阳市图书馆</w:t>
      </w:r>
      <w:r>
        <w:rPr>
          <w:rFonts w:hint="eastAsia" w:ascii="方正小标宋简体" w:hAnsi="方正小标宋简体" w:eastAsia="方正小标宋简体" w:cs="方正小标宋简体"/>
          <w:sz w:val="44"/>
          <w:szCs w:val="44"/>
          <w:highlight w:val="none"/>
        </w:rPr>
        <w:t>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仿宋_GB2312" w:cs="Times New Roman"/>
          <w:sz w:val="32"/>
          <w:szCs w:val="32"/>
          <w:highlight w:val="none"/>
        </w:rPr>
        <w:t>部门（单位）名称：</w:t>
      </w:r>
      <w:r>
        <w:rPr>
          <w:rFonts w:hint="eastAsia" w:ascii="Times New Roman" w:hAnsi="Times New Roman" w:eastAsia="仿宋_GB2312" w:cs="Times New Roman"/>
          <w:sz w:val="32"/>
          <w:szCs w:val="32"/>
          <w:highlight w:val="none"/>
          <w:lang w:val="en-US" w:eastAsia="zh-CN"/>
        </w:rPr>
        <w:t>岳阳市图书馆</w:t>
      </w:r>
    </w:p>
    <w:p>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2024</w:t>
      </w:r>
      <w:r>
        <w:rPr>
          <w:rFonts w:hint="default" w:ascii="Times New Roman" w:hAnsi="Times New Roman" w:eastAsia="楷体_GB2312" w:cs="Times New Roman"/>
          <w:sz w:val="32"/>
          <w:szCs w:val="32"/>
          <w:highlight w:val="none"/>
        </w:rPr>
        <w:t xml:space="preserve">年 </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 xml:space="preserve"> 月 </w:t>
      </w:r>
      <w:r>
        <w:rPr>
          <w:rFonts w:hint="eastAsia" w:ascii="Times New Roman" w:hAnsi="Times New Roman" w:eastAsia="楷体_GB2312" w:cs="Times New Roman"/>
          <w:sz w:val="32"/>
          <w:szCs w:val="32"/>
          <w:highlight w:val="none"/>
          <w:lang w:val="en-US" w:eastAsia="zh-CN"/>
        </w:rPr>
        <w:t>25</w:t>
      </w:r>
      <w:r>
        <w:rPr>
          <w:rFonts w:hint="default" w:ascii="Times New Roman" w:hAnsi="Times New Roman" w:eastAsia="楷体_GB2312" w:cs="Times New Roman"/>
          <w:sz w:val="32"/>
          <w:szCs w:val="32"/>
          <w:highlight w:val="none"/>
        </w:rPr>
        <w:t xml:space="preserve"> 日</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岳阳市图书馆</w:t>
      </w:r>
      <w:r>
        <w:rPr>
          <w:rFonts w:hint="eastAsia" w:ascii="方正小标宋简体" w:hAnsi="方正小标宋简体" w:eastAsia="方正小标宋简体" w:cs="方正小标宋简体"/>
          <w:sz w:val="44"/>
          <w:szCs w:val="44"/>
          <w:highlight w:val="none"/>
        </w:rPr>
        <w:t>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pPr>
        <w:spacing w:line="560" w:lineRule="exact"/>
        <w:ind w:firstLine="640" w:firstLineChars="200"/>
        <w:rPr>
          <w:rFonts w:ascii="仿宋" w:hAnsi="仿宋" w:eastAsia="仿宋" w:cs="仿宋_GB2312"/>
          <w:bCs/>
          <w:sz w:val="32"/>
          <w:szCs w:val="32"/>
        </w:rPr>
      </w:pPr>
      <w:r>
        <w:rPr>
          <w:rFonts w:hint="eastAsia" w:ascii="Times New Roman" w:hAnsi="Times New Roman" w:eastAsia="黑体" w:cs="Times New Roman"/>
          <w:sz w:val="32"/>
          <w:szCs w:val="32"/>
          <w:highlight w:val="none"/>
          <w:lang w:val="en-US" w:eastAsia="zh-CN"/>
        </w:rPr>
        <w:t xml:space="preserve">    </w:t>
      </w:r>
      <w:r>
        <w:rPr>
          <w:rFonts w:hint="eastAsia" w:ascii="仿宋" w:hAnsi="仿宋" w:eastAsia="仿宋" w:cs="仿宋_GB2312"/>
          <w:bCs/>
          <w:sz w:val="32"/>
          <w:szCs w:val="32"/>
        </w:rPr>
        <w:t>岳阳市图书馆是岳阳市文化旅游广电局下属二级机构为正科级公益一类事业单位，截止</w:t>
      </w:r>
      <w:r>
        <w:rPr>
          <w:rFonts w:ascii="仿宋" w:hAnsi="仿宋" w:eastAsia="仿宋" w:cs="仿宋_GB2312"/>
          <w:bCs/>
          <w:sz w:val="32"/>
          <w:szCs w:val="32"/>
        </w:rPr>
        <w:t>202</w:t>
      </w:r>
      <w:r>
        <w:rPr>
          <w:rFonts w:hint="eastAsia" w:eastAsia="仿宋" w:cs="仿宋_GB2312"/>
          <w:bCs/>
          <w:sz w:val="32"/>
          <w:szCs w:val="32"/>
          <w:lang w:val="en-US" w:eastAsia="zh-CN"/>
        </w:rPr>
        <w:t>3</w:t>
      </w:r>
      <w:r>
        <w:rPr>
          <w:rFonts w:hint="eastAsia" w:ascii="仿宋" w:hAnsi="仿宋" w:eastAsia="仿宋" w:cs="仿宋_GB2312"/>
          <w:bCs/>
          <w:sz w:val="32"/>
          <w:szCs w:val="32"/>
        </w:rPr>
        <w:t>年</w:t>
      </w:r>
      <w:r>
        <w:rPr>
          <w:rFonts w:ascii="仿宋" w:hAnsi="仿宋" w:eastAsia="仿宋" w:cs="仿宋_GB2312"/>
          <w:bCs/>
          <w:sz w:val="32"/>
          <w:szCs w:val="32"/>
        </w:rPr>
        <w:t>12</w:t>
      </w:r>
      <w:r>
        <w:rPr>
          <w:rFonts w:hint="eastAsia" w:ascii="仿宋" w:hAnsi="仿宋" w:eastAsia="仿宋" w:cs="仿宋_GB2312"/>
          <w:bCs/>
          <w:sz w:val="32"/>
          <w:szCs w:val="32"/>
        </w:rPr>
        <w:t>月</w:t>
      </w:r>
      <w:r>
        <w:rPr>
          <w:rFonts w:ascii="仿宋" w:hAnsi="仿宋" w:eastAsia="仿宋" w:cs="仿宋_GB2312"/>
          <w:bCs/>
          <w:sz w:val="32"/>
          <w:szCs w:val="32"/>
        </w:rPr>
        <w:t>31</w:t>
      </w:r>
      <w:r>
        <w:rPr>
          <w:rFonts w:hint="eastAsia" w:ascii="仿宋" w:hAnsi="仿宋" w:eastAsia="仿宋" w:cs="仿宋_GB2312"/>
          <w:bCs/>
          <w:sz w:val="32"/>
          <w:szCs w:val="32"/>
        </w:rPr>
        <w:t>日，实际在编在岗干部职工共有</w:t>
      </w:r>
      <w:r>
        <w:rPr>
          <w:rFonts w:hint="eastAsia" w:eastAsia="仿宋" w:cs="仿宋_GB2312"/>
          <w:bCs/>
          <w:sz w:val="32"/>
          <w:szCs w:val="32"/>
          <w:lang w:val="en-US" w:eastAsia="zh-CN"/>
        </w:rPr>
        <w:t xml:space="preserve">51 </w:t>
      </w:r>
      <w:r>
        <w:rPr>
          <w:rFonts w:hint="eastAsia" w:ascii="仿宋" w:hAnsi="仿宋" w:eastAsia="仿宋" w:cs="仿宋_GB2312"/>
          <w:bCs/>
          <w:sz w:val="32"/>
          <w:szCs w:val="32"/>
        </w:rPr>
        <w:t>人。</w:t>
      </w:r>
    </w:p>
    <w:p>
      <w:pPr>
        <w:pStyle w:val="4"/>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4"/>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spacing w:line="560" w:lineRule="exact"/>
        <w:ind w:firstLine="960" w:firstLineChars="300"/>
        <w:rPr>
          <w:rFonts w:hint="eastAsia" w:eastAsia="仿宋" w:cs="仿宋_GB2312"/>
          <w:bCs/>
          <w:sz w:val="32"/>
          <w:szCs w:val="32"/>
          <w:lang w:eastAsia="zh-CN"/>
        </w:rPr>
      </w:pPr>
      <w:r>
        <w:rPr>
          <w:rFonts w:ascii="仿宋" w:hAnsi="仿宋" w:eastAsia="仿宋" w:cs="仿宋_GB2312"/>
          <w:bCs/>
          <w:sz w:val="32"/>
          <w:szCs w:val="32"/>
        </w:rPr>
        <w:t>202</w:t>
      </w:r>
      <w:r>
        <w:rPr>
          <w:rFonts w:hint="eastAsia" w:eastAsia="仿宋" w:cs="仿宋_GB2312"/>
          <w:bCs/>
          <w:sz w:val="32"/>
          <w:szCs w:val="32"/>
          <w:lang w:val="en-US" w:eastAsia="zh-CN"/>
        </w:rPr>
        <w:t>3</w:t>
      </w:r>
      <w:r>
        <w:rPr>
          <w:rFonts w:hint="eastAsia" w:ascii="仿宋" w:hAnsi="仿宋" w:eastAsia="仿宋" w:cs="仿宋_GB2312"/>
          <w:bCs/>
          <w:sz w:val="32"/>
          <w:szCs w:val="32"/>
        </w:rPr>
        <w:t>年度基本支出</w:t>
      </w:r>
      <w:r>
        <w:rPr>
          <w:rFonts w:hint="eastAsia" w:ascii="仿宋" w:hAnsi="仿宋" w:eastAsia="仿宋" w:cs="仿宋_GB2312"/>
          <w:bCs/>
          <w:sz w:val="32"/>
          <w:szCs w:val="32"/>
          <w:lang w:val="en-US" w:eastAsia="zh-CN"/>
        </w:rPr>
        <w:t>1029.38</w:t>
      </w:r>
      <w:r>
        <w:rPr>
          <w:rFonts w:hint="eastAsia" w:ascii="仿宋" w:hAnsi="仿宋" w:eastAsia="仿宋" w:cs="仿宋_GB2312"/>
          <w:bCs/>
          <w:sz w:val="32"/>
          <w:szCs w:val="32"/>
        </w:rPr>
        <w:t>万元，使用内容为人员经费和日常公用经费。其中人员经费支出</w:t>
      </w:r>
      <w:r>
        <w:rPr>
          <w:rFonts w:hint="eastAsia" w:eastAsia="仿宋" w:cs="仿宋_GB2312"/>
          <w:bCs/>
          <w:sz w:val="32"/>
          <w:szCs w:val="32"/>
          <w:lang w:val="en-US" w:eastAsia="zh-CN"/>
        </w:rPr>
        <w:t>902.12</w:t>
      </w:r>
      <w:r>
        <w:rPr>
          <w:rFonts w:hint="eastAsia" w:ascii="仿宋" w:hAnsi="仿宋" w:eastAsia="仿宋" w:cs="仿宋_GB2312"/>
          <w:bCs/>
          <w:sz w:val="32"/>
          <w:szCs w:val="32"/>
        </w:rPr>
        <w:t>万元，主要用于发放人员工资及津补贴；支付离退休员工的工资及津补贴、抚恤金、丧葬费、生活补助等；一般商品和服务支出</w:t>
      </w:r>
      <w:r>
        <w:rPr>
          <w:rFonts w:hint="eastAsia" w:eastAsia="仿宋" w:cs="仿宋_GB2312"/>
          <w:bCs/>
          <w:sz w:val="32"/>
          <w:szCs w:val="32"/>
          <w:lang w:val="en-US" w:eastAsia="zh-CN"/>
        </w:rPr>
        <w:t>127.26</w:t>
      </w:r>
      <w:r>
        <w:rPr>
          <w:rFonts w:hint="eastAsia" w:ascii="仿宋" w:hAnsi="仿宋" w:eastAsia="仿宋" w:cs="仿宋_GB2312"/>
          <w:bCs/>
          <w:sz w:val="32"/>
          <w:szCs w:val="32"/>
        </w:rPr>
        <w:t>万元，主要用于保障我馆正常运转所需开支的办公费、差旅费、招待费、会议费、公务用车运行维护费、物业管理费等。基本开支主要来自于年初预算拨款，其他来自于政策性工资绩效预算的追加</w:t>
      </w:r>
      <w:r>
        <w:rPr>
          <w:rFonts w:hint="eastAsia" w:eastAsia="仿宋" w:cs="仿宋_GB2312"/>
          <w:bCs/>
          <w:sz w:val="32"/>
          <w:szCs w:val="32"/>
          <w:lang w:eastAsia="zh-CN"/>
        </w:rPr>
        <w:t>。</w:t>
      </w:r>
    </w:p>
    <w:p>
      <w:pPr>
        <w:pStyle w:val="4"/>
        <w:keepNext w:val="0"/>
        <w:keepLines w:val="0"/>
        <w:pageBreakBefore w:val="0"/>
        <w:widowControl/>
        <w:numPr>
          <w:ilvl w:val="0"/>
          <w:numId w:val="2"/>
        </w:numPr>
        <w:kinsoku/>
        <w:wordWrap/>
        <w:overflowPunct/>
        <w:topLinePunct w:val="0"/>
        <w:autoSpaceDE/>
        <w:autoSpaceDN/>
        <w:bidi w:val="0"/>
        <w:adjustRightInd/>
        <w:snapToGrid/>
        <w:spacing w:line="640" w:lineRule="exact"/>
        <w:ind w:left="0" w:leftChars="0" w:firstLine="321" w:firstLineChars="1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1</w:t>
      </w:r>
      <w:r>
        <w:rPr>
          <w:rFonts w:hint="eastAsia" w:ascii="仿宋" w:hAnsi="仿宋" w:eastAsia="仿宋" w:cs="仿宋_GB2312"/>
          <w:bCs/>
          <w:sz w:val="32"/>
          <w:szCs w:val="32"/>
        </w:rPr>
        <w:t>、专项资金安排落实、总投入等情况分析</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项目支出</w:t>
      </w:r>
      <w:r>
        <w:rPr>
          <w:rFonts w:hint="eastAsia" w:eastAsia="仿宋" w:cs="仿宋_GB2312"/>
          <w:bCs/>
          <w:sz w:val="32"/>
          <w:szCs w:val="32"/>
          <w:lang w:val="en-US" w:eastAsia="zh-CN"/>
        </w:rPr>
        <w:t>539.68</w:t>
      </w:r>
      <w:r>
        <w:rPr>
          <w:rFonts w:hint="eastAsia" w:ascii="仿宋" w:hAnsi="仿宋" w:eastAsia="仿宋" w:cs="仿宋_GB2312"/>
          <w:bCs/>
          <w:sz w:val="32"/>
          <w:szCs w:val="32"/>
        </w:rPr>
        <w:t>万元，为图书购置资金、阅读推广活动资金、自助书屋维护资金、地方报纸知识资源细颗粒建设和标签标引专项资金等。</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2</w:t>
      </w:r>
      <w:r>
        <w:rPr>
          <w:rFonts w:hint="eastAsia" w:ascii="仿宋" w:hAnsi="仿宋" w:eastAsia="仿宋" w:cs="仿宋_GB2312"/>
          <w:bCs/>
          <w:sz w:val="32"/>
          <w:szCs w:val="32"/>
        </w:rPr>
        <w:t>、专项资金实际使用情况分析</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对专项资金的管理我馆建立了专项资金管理办法，遵循专款专用、单独核算的管理原则；专项项目的申报严格按照市财政资金管理的要求进行，专项资金财政拨款到位后及时进行了项目的开展和资金的投入。</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3</w:t>
      </w:r>
      <w:r>
        <w:rPr>
          <w:rFonts w:hint="eastAsia" w:ascii="仿宋" w:hAnsi="仿宋" w:eastAsia="仿宋" w:cs="仿宋_GB2312"/>
          <w:bCs/>
          <w:sz w:val="32"/>
          <w:szCs w:val="32"/>
        </w:rPr>
        <w:t>、专项资金管理情况分析</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我馆目前对专项资金的管理按照项目支出涉及的经济科目的明细项目，根据财务管理办法的相关制度执行。</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专项资金中涉及的项目招投标、政府采购事项，我馆均严格按照要求进行了组织，对公开招标的项目要求参与投标报价单位不少于三家，由馆多个部门参与采购谈判，同时严格合同的签订，落实物资和服务的验收，做好资金支付的审核审批手续。</w:t>
      </w:r>
    </w:p>
    <w:p>
      <w:pPr>
        <w:pStyle w:val="4"/>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p>
    <w:p>
      <w:pPr>
        <w:pStyle w:val="4"/>
        <w:keepNext w:val="0"/>
        <w:keepLines w:val="0"/>
        <w:pageBreakBefore w:val="0"/>
        <w:widowControl/>
        <w:numPr>
          <w:ilvl w:val="0"/>
          <w:numId w:val="0"/>
        </w:numPr>
        <w:kinsoku/>
        <w:wordWrap/>
        <w:overflowPunct/>
        <w:topLinePunct w:val="0"/>
        <w:autoSpaceDE/>
        <w:autoSpaceDN/>
        <w:bidi w:val="0"/>
        <w:adjustRightInd/>
        <w:snapToGrid/>
        <w:spacing w:line="640" w:lineRule="exact"/>
        <w:ind w:firstLine="1280" w:firstLineChars="400"/>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本单位无政府性基金预算支出</w:t>
      </w:r>
    </w:p>
    <w:p>
      <w:pPr>
        <w:pStyle w:val="4"/>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pPr>
        <w:pStyle w:val="4"/>
        <w:keepNext w:val="0"/>
        <w:keepLines w:val="0"/>
        <w:pageBreakBefore w:val="0"/>
        <w:widowControl/>
        <w:numPr>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 xml:space="preserve">        本单位无国有资本经营预算支出</w:t>
      </w:r>
    </w:p>
    <w:p>
      <w:pPr>
        <w:pStyle w:val="4"/>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社会保险基金预算支出情况</w:t>
      </w:r>
      <w:bookmarkStart w:id="0" w:name="_GoBack"/>
      <w:bookmarkEnd w:id="0"/>
    </w:p>
    <w:p>
      <w:pPr>
        <w:pStyle w:val="4"/>
        <w:keepNext w:val="0"/>
        <w:keepLines w:val="0"/>
        <w:pageBreakBefore w:val="0"/>
        <w:widowControl/>
        <w:numPr>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 xml:space="preserve">     本单位无社会保险基金预算支出</w:t>
      </w:r>
    </w:p>
    <w:p>
      <w:pPr>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部门整体支出绩效情况</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通过加强预算收支的管理，不断建立健全内部管理制度，梳理内部管理流程，部门整体支出管理情况得到了提升，部门整体支出绩效情况如下：</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经济性评价方面</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1</w:t>
      </w:r>
      <w:r>
        <w:rPr>
          <w:rFonts w:hint="eastAsia" w:ascii="仿宋" w:hAnsi="仿宋" w:eastAsia="仿宋" w:cs="仿宋_GB2312"/>
          <w:bCs/>
          <w:sz w:val="32"/>
          <w:szCs w:val="32"/>
        </w:rPr>
        <w:t>、本年预算配置控制较好，财政供养人员控制在预算编制以内；三公经费控制得较好，相比去年决算和年初预算都有所减少。</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2</w:t>
      </w:r>
      <w:r>
        <w:rPr>
          <w:rFonts w:hint="eastAsia" w:eastAsia="仿宋" w:cs="仿宋_GB2312"/>
          <w:bCs/>
          <w:sz w:val="32"/>
          <w:szCs w:val="32"/>
          <w:lang w:eastAsia="zh-CN"/>
        </w:rPr>
        <w:t>、</w:t>
      </w:r>
      <w:r>
        <w:rPr>
          <w:rFonts w:hint="eastAsia" w:ascii="仿宋" w:hAnsi="仿宋" w:eastAsia="仿宋" w:cs="仿宋_GB2312"/>
          <w:bCs/>
          <w:sz w:val="32"/>
          <w:szCs w:val="32"/>
        </w:rPr>
        <w:t>预算执行方面，支出总额控制在预算总额以内，除专项预算的追加和政策性工资绩效预算的追加外，本年部门预算未进行预算相关事项的调整；我馆预算内专项资金在取得财政局的年度预算批复时，随批复一同进行了下达；追加的项目专项资金在取得上级或同级财政批复后随批复及时进行了下达；三公经费总额和财政拨款支出三公经费总体控制较好。</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预算管理方面，制度执行总体较为有效，仍需进一步强化；资金使用管理需进一步加强。</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3</w:t>
      </w:r>
      <w:r>
        <w:rPr>
          <w:rFonts w:hint="eastAsia" w:ascii="仿宋" w:hAnsi="仿宋" w:eastAsia="仿宋" w:cs="仿宋_GB2312"/>
          <w:bCs/>
          <w:sz w:val="32"/>
          <w:szCs w:val="32"/>
        </w:rPr>
        <w:t>、资产管理方面：建立了资产管理制度，对全馆资产进行了详细的盘点，设置各科室资产管理员，做好资产台账，加强对资产的管理。实现了实物资产的“一物一卡一条码”，总体执行较好。</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根据部门整体支出绩效评价指标体系，我单位</w:t>
      </w:r>
      <w:r>
        <w:rPr>
          <w:rFonts w:ascii="仿宋" w:hAnsi="仿宋" w:eastAsia="仿宋" w:cs="仿宋_GB2312"/>
          <w:bCs/>
          <w:sz w:val="32"/>
          <w:szCs w:val="32"/>
        </w:rPr>
        <w:t>202</w:t>
      </w:r>
      <w:r>
        <w:rPr>
          <w:rFonts w:hint="eastAsia" w:eastAsia="仿宋" w:cs="仿宋_GB2312"/>
          <w:bCs/>
          <w:sz w:val="32"/>
          <w:szCs w:val="32"/>
          <w:lang w:val="en-US" w:eastAsia="zh-CN"/>
        </w:rPr>
        <w:t>3</w:t>
      </w:r>
      <w:r>
        <w:rPr>
          <w:rFonts w:hint="eastAsia" w:ascii="仿宋" w:hAnsi="仿宋" w:eastAsia="仿宋" w:cs="仿宋_GB2312"/>
          <w:bCs/>
          <w:sz w:val="32"/>
          <w:szCs w:val="32"/>
        </w:rPr>
        <w:t>年度评价得分</w:t>
      </w:r>
      <w:r>
        <w:rPr>
          <w:rFonts w:ascii="仿宋" w:hAnsi="仿宋" w:eastAsia="仿宋" w:cs="仿宋_GB2312"/>
          <w:bCs/>
          <w:sz w:val="32"/>
          <w:szCs w:val="32"/>
        </w:rPr>
        <w:t>100</w:t>
      </w:r>
      <w:r>
        <w:rPr>
          <w:rFonts w:hint="eastAsia" w:ascii="仿宋" w:hAnsi="仿宋" w:eastAsia="仿宋" w:cs="仿宋_GB2312"/>
          <w:bCs/>
          <w:sz w:val="32"/>
          <w:szCs w:val="32"/>
        </w:rPr>
        <w:t>分。</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效率性评价和有效性评价</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社会效率和有效性评价较好。</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（三）社会公众满意度评价</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社会公众满意度较好。</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p>
    <w:p>
      <w:pPr>
        <w:pStyle w:val="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_GB2312"/>
          <w:bCs/>
          <w:sz w:val="32"/>
          <w:szCs w:val="32"/>
        </w:rPr>
      </w:pPr>
      <w:r>
        <w:rPr>
          <w:rFonts w:hint="eastAsia" w:ascii="仿宋" w:hAnsi="仿宋" w:eastAsia="仿宋" w:cs="仿宋_GB2312"/>
          <w:bCs/>
          <w:sz w:val="32"/>
          <w:szCs w:val="32"/>
        </w:rPr>
        <w:t>通过前述对我单位整体支出情况的分析，反映出目前在整体支出的预算编制、执行和管理过程中，依然存在一些问题和不足针对这些不足，我们将积极采取改进措施，持续改进，不断规范和强化管理。</w:t>
      </w:r>
    </w:p>
    <w:p>
      <w:pPr>
        <w:keepNext w:val="0"/>
        <w:keepLines w:val="0"/>
        <w:pageBreakBefore w:val="0"/>
        <w:widowControl/>
        <w:numPr>
          <w:ilvl w:val="0"/>
          <w:numId w:val="4"/>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spacing w:line="38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针对上述存在的问题及我单位整体支出管理工作的需要，拟实施的改进措施如下：</w:t>
      </w:r>
    </w:p>
    <w:p>
      <w:pPr>
        <w:spacing w:line="38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细化预算编制工作，认真做好预算的编制。</w:t>
      </w:r>
    </w:p>
    <w:p>
      <w:pPr>
        <w:spacing w:line="38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进一步加强局内部机构各科室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spacing w:line="380" w:lineRule="exact"/>
        <w:ind w:firstLine="640" w:firstLineChars="200"/>
        <w:rPr>
          <w:rFonts w:ascii="仿宋" w:hAnsi="仿宋" w:eastAsia="仿宋" w:cs="仿宋_GB2312"/>
          <w:bCs/>
          <w:sz w:val="32"/>
          <w:szCs w:val="32"/>
        </w:rPr>
      </w:pPr>
      <w:r>
        <w:rPr>
          <w:rFonts w:ascii="仿宋" w:hAnsi="仿宋" w:eastAsia="仿宋" w:cs="仿宋_GB2312"/>
          <w:bCs/>
          <w:sz w:val="32"/>
          <w:szCs w:val="32"/>
        </w:rPr>
        <w:t>2</w:t>
      </w:r>
      <w:r>
        <w:rPr>
          <w:rFonts w:hint="eastAsia" w:ascii="仿宋" w:hAnsi="仿宋" w:eastAsia="仿宋" w:cs="仿宋_GB2312"/>
          <w:bCs/>
          <w:sz w:val="32"/>
          <w:szCs w:val="32"/>
        </w:rPr>
        <w:t>、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spacing w:line="380" w:lineRule="exact"/>
        <w:ind w:firstLine="640" w:firstLineChars="200"/>
        <w:rPr>
          <w:rFonts w:ascii="仿宋" w:hAnsi="仿宋" w:eastAsia="仿宋" w:cs="仿宋_GB2312"/>
          <w:bCs/>
          <w:sz w:val="32"/>
          <w:szCs w:val="32"/>
        </w:rPr>
      </w:pPr>
      <w:r>
        <w:rPr>
          <w:rFonts w:ascii="仿宋" w:hAnsi="仿宋" w:eastAsia="仿宋" w:cs="仿宋_GB2312"/>
          <w:bCs/>
          <w:sz w:val="32"/>
          <w:szCs w:val="32"/>
        </w:rPr>
        <w:t>3</w:t>
      </w:r>
      <w:r>
        <w:rPr>
          <w:rFonts w:hint="eastAsia" w:ascii="仿宋" w:hAnsi="仿宋" w:eastAsia="仿宋" w:cs="仿宋_GB2312"/>
          <w:bCs/>
          <w:sz w:val="32"/>
          <w:szCs w:val="32"/>
        </w:rPr>
        <w:t>、遵循预算管理办法，对于年度无法预计的临时追加的相关工作所需费用，按照预算调整追加程序，逐级申报报批；对结余资金需调整用途的同样按照预算调整追加程序逐级申报报批，确保资金使用按照预算项目和使用用途执行，杜绝费用项目之间调剂使用现象的发生。</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highlight w:val="none"/>
        </w:rPr>
      </w:pPr>
      <w:r>
        <w:rPr>
          <w:rFonts w:ascii="仿宋" w:hAnsi="仿宋" w:eastAsia="仿宋" w:cs="仿宋_GB2312"/>
          <w:bCs/>
          <w:sz w:val="32"/>
          <w:szCs w:val="32"/>
        </w:rPr>
        <w:t>4</w:t>
      </w:r>
      <w:r>
        <w:rPr>
          <w:rFonts w:hint="eastAsia" w:ascii="仿宋" w:hAnsi="仿宋" w:eastAsia="仿宋" w:cs="仿宋_GB2312"/>
          <w:bCs/>
          <w:sz w:val="32"/>
          <w:szCs w:val="32"/>
        </w:rPr>
        <w:t>、加强财务核算工作，提高财务的精细化管理，确保财务核算的真实、及时、准确、完整。</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239AB"/>
    <w:multiLevelType w:val="singleLevel"/>
    <w:tmpl w:val="C77239AB"/>
    <w:lvl w:ilvl="0" w:tentative="0">
      <w:start w:val="8"/>
      <w:numFmt w:val="chineseCounting"/>
      <w:suff w:val="nothing"/>
      <w:lvlText w:val="%1、"/>
      <w:lvlJc w:val="left"/>
      <w:rPr>
        <w:rFonts w:hint="eastAsia"/>
      </w:rPr>
    </w:lvl>
  </w:abstractNum>
  <w:abstractNum w:abstractNumId="1">
    <w:nsid w:val="3602B2F3"/>
    <w:multiLevelType w:val="singleLevel"/>
    <w:tmpl w:val="3602B2F3"/>
    <w:lvl w:ilvl="0" w:tentative="0">
      <w:start w:val="4"/>
      <w:numFmt w:val="chineseCounting"/>
      <w:suff w:val="nothing"/>
      <w:lvlText w:val="%1、"/>
      <w:lvlJc w:val="left"/>
      <w:rPr>
        <w:rFonts w:hint="eastAsia"/>
      </w:rPr>
    </w:lvl>
  </w:abstractNum>
  <w:abstractNum w:abstractNumId="2">
    <w:nsid w:val="45EAC3C8"/>
    <w:multiLevelType w:val="singleLevel"/>
    <w:tmpl w:val="45EAC3C8"/>
    <w:lvl w:ilvl="0" w:tentative="0">
      <w:start w:val="1"/>
      <w:numFmt w:val="chineseCounting"/>
      <w:suff w:val="nothing"/>
      <w:lvlText w:val="%1、"/>
      <w:lvlJc w:val="left"/>
      <w:rPr>
        <w:rFonts w:hint="eastAsia"/>
      </w:rPr>
    </w:lvl>
  </w:abstractNum>
  <w:abstractNum w:abstractNumId="3">
    <w:nsid w:val="62303AF9"/>
    <w:multiLevelType w:val="singleLevel"/>
    <w:tmpl w:val="62303AF9"/>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Zjg4ZTcyNmEyYTM0MjA1N2FhOWY3NTZkNDk1MzcifQ=="/>
  </w:docVars>
  <w:rsids>
    <w:rsidRoot w:val="3D82498A"/>
    <w:rsid w:val="36BD1EDC"/>
    <w:rsid w:val="3D82498A"/>
    <w:rsid w:val="4CEC4A12"/>
    <w:rsid w:val="6B880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2001</Words>
  <Characters>2052</Characters>
  <Lines>0</Lines>
  <Paragraphs>0</Paragraphs>
  <TotalTime>14</TotalTime>
  <ScaleCrop>false</ScaleCrop>
  <LinksUpToDate>false</LinksUpToDate>
  <CharactersWithSpaces>2061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2024-07-04T07:26:00Z</dcterms:created>
  <dc:creator>Dreamli</dc:creator>
  <cp:lastModifiedBy>Dreamli</cp:lastModifiedBy>
  <dcterms:modified xsi:type="dcterms:W3CDTF">2024-07-05T06:25:03Z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0D660C0FC1E347D0BC621E72D86EEE26_11</vt:lpwstr>
  </property>
</Properties>
</file>