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黑体" w:hAnsi="黑体" w:eastAsia="黑体" w:cs="黑体"/>
          <w:sz w:val="32"/>
          <w:szCs w:val="32"/>
        </w:rPr>
      </w:pPr>
      <w:r>
        <w:rPr>
          <w:rFonts w:hint="eastAsia" w:ascii="黑体" w:hAnsi="黑体" w:eastAsia="黑体" w:cs="黑体"/>
          <w:sz w:val="32"/>
          <w:szCs w:val="32"/>
        </w:rPr>
        <w:t>附件4</w:t>
      </w:r>
    </w:p>
    <w:p>
      <w:pPr>
        <w:jc w:val="center"/>
        <w:rPr>
          <w:rFonts w:ascii="Times New Roman" w:hAnsi="Times New Roman" w:eastAsia="方正小标宋_GBK"/>
          <w:sz w:val="52"/>
          <w:szCs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2023年度岳阳市考古研究和文物保护中心</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jc w:val="center"/>
        <w:rPr>
          <w:rFonts w:ascii="Times New Roman" w:hAnsi="Times New Roman" w:eastAsia="方正小标宋_GBK"/>
          <w:b/>
          <w:sz w:val="52"/>
          <w:szCs w:val="5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hint="eastAsia" w:ascii="Times New Roman" w:hAnsi="Times New Roman" w:eastAsia="仿宋_GB2312"/>
          <w:sz w:val="32"/>
          <w:szCs w:val="32"/>
          <w:u w:val="single"/>
        </w:rPr>
        <w:t>岳阳市考古研究和文物保护中心</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2024</w:t>
      </w:r>
      <w:r>
        <w:rPr>
          <w:rFonts w:ascii="Times New Roman" w:hAnsi="Times New Roman" w:eastAsia="楷体_GB2312"/>
          <w:sz w:val="32"/>
          <w:szCs w:val="32"/>
        </w:rPr>
        <w:t>年  月  日</w:t>
      </w:r>
    </w:p>
    <w:p>
      <w:pPr>
        <w:jc w:val="center"/>
        <w:rPr>
          <w:rFonts w:ascii="Times New Roman" w:hAnsi="Times New Roman" w:eastAsia="仿宋_GB2312"/>
          <w:sz w:val="32"/>
          <w:szCs w:val="32"/>
        </w:rPr>
      </w:pPr>
      <w:r>
        <w:rPr>
          <w:rFonts w:ascii="Times New Roman" w:hAnsi="Times New Roman" w:eastAsia="仿宋_GB2312"/>
          <w:sz w:val="32"/>
          <w:szCs w:val="32"/>
        </w:rPr>
        <w:t>（此页为封面）</w:t>
      </w:r>
    </w:p>
    <w:p>
      <w:pPr>
        <w:jc w:val="center"/>
        <w:rPr>
          <w:rFonts w:ascii="方正小标宋简体" w:hAnsi="方正小标宋简体" w:eastAsia="方正小标宋简体" w:cs="方正小标宋简体"/>
          <w:sz w:val="44"/>
          <w:szCs w:val="44"/>
        </w:rPr>
      </w:pP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2023年度岳阳市考古研究和文物保护中心</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spacing w:line="640" w:lineRule="exact"/>
        <w:ind w:firstLine="640" w:firstLineChars="200"/>
        <w:rPr>
          <w:rFonts w:ascii="Times New Roman" w:hAnsi="Times New Roman" w:eastAsia="仿宋_GB2312"/>
          <w:sz w:val="32"/>
          <w:szCs w:val="32"/>
        </w:rPr>
      </w:pPr>
    </w:p>
    <w:p>
      <w:pPr>
        <w:numPr>
          <w:ilvl w:val="0"/>
          <w:numId w:val="1"/>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部门（单位）基本情况</w:t>
      </w:r>
    </w:p>
    <w:p>
      <w:pPr>
        <w:pStyle w:val="5"/>
        <w:ind w:left="0" w:leftChars="0" w:firstLine="640"/>
      </w:pPr>
      <w:r>
        <w:rPr>
          <w:rFonts w:ascii="宋体" w:hAnsi="宋体"/>
          <w:sz w:val="32"/>
        </w:rPr>
        <w:t>岳阳市考古研究和文物保护中心是2021年整合原岳阳楼文物保护中心、市城区文物保护中心、君山岛文物管理所、非物质文化保护中心四家单位合并后成立的副处级公益一类事业单位，于2021年5月20日挂牌，11月15日宣布正式成立市文物保护中心。2022年11月并入考古研究职责职能，更名为市考古研究和文物保护中心。现设主任（副处级）1名，党政副职（正科级）5名（其中党组织专职副书记1名，纪检员1名）；内设机构副科级领导职数9名（含党办主任1名、离退休人员管理服务部部长1名）；分支机构正科级领导职数1名，副科级领导职数1名。下设综合、文物保护、非遗保护、宣教展示利用、文庙开放管理、岳阳楼书画院、离退休管理部、党办、考古9个内设机构和一个分支机构君山岛文物管理所。</w:t>
      </w:r>
      <w:r>
        <w:rPr>
          <w:rFonts w:hint="eastAsia" w:ascii="宋体" w:hAnsi="宋体"/>
          <w:sz w:val="32"/>
        </w:rPr>
        <w:t>至2023年末，</w:t>
      </w:r>
      <w:r>
        <w:rPr>
          <w:rFonts w:ascii="宋体" w:hAnsi="宋体"/>
          <w:sz w:val="32"/>
        </w:rPr>
        <w:t>我中心在编在职人员4</w:t>
      </w:r>
      <w:r>
        <w:rPr>
          <w:rFonts w:hint="eastAsia" w:ascii="宋体" w:hAnsi="宋体"/>
          <w:sz w:val="32"/>
        </w:rPr>
        <w:t>7</w:t>
      </w:r>
      <w:r>
        <w:rPr>
          <w:rFonts w:ascii="宋体" w:hAnsi="宋体"/>
          <w:sz w:val="32"/>
        </w:rPr>
        <w:t>人，其中副处级干部1名，正科级干部6名，副科级干部10名；专业技术人员25名，其中正高职称1人，副高职称1人，中级职称14人，初级职称9人。另有劳务派遣人员41名。我单位还承担原岳阳楼景区管委会和君山公园改制后及城区文物保护中心合并后共20名提前离岗人员和312名退休人员的管理工作。</w:t>
      </w:r>
    </w:p>
    <w:p>
      <w:pPr>
        <w:pStyle w:val="9"/>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9"/>
        <w:widowControl/>
        <w:spacing w:line="640" w:lineRule="exact"/>
        <w:ind w:firstLine="643"/>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9"/>
        <w:widowControl/>
        <w:spacing w:line="640" w:lineRule="exact"/>
        <w:ind w:firstLine="640"/>
        <w:rPr>
          <w:rFonts w:ascii="宋体" w:hAnsi="宋体" w:cs="宋体"/>
          <w:b/>
          <w:sz w:val="32"/>
          <w:szCs w:val="32"/>
        </w:rPr>
      </w:pPr>
      <w:r>
        <w:rPr>
          <w:rFonts w:hint="eastAsia" w:ascii="宋体" w:hAnsi="宋体" w:cs="宋体"/>
          <w:bCs/>
          <w:sz w:val="32"/>
          <w:szCs w:val="32"/>
        </w:rPr>
        <w:t>2023年基本支出年初预算数612.97万元，实际支出1436.60万元，其中人员支出1288.88万元，公用支出147.72万元。</w:t>
      </w:r>
    </w:p>
    <w:p>
      <w:pPr>
        <w:pStyle w:val="9"/>
        <w:widowControl/>
        <w:numPr>
          <w:ilvl w:val="0"/>
          <w:numId w:val="2"/>
        </w:numPr>
        <w:spacing w:line="640" w:lineRule="exact"/>
        <w:ind w:firstLine="643"/>
        <w:rPr>
          <w:rFonts w:ascii="Times New Roman" w:hAnsi="Times New Roman" w:eastAsia="楷体_GB2312"/>
          <w:b/>
          <w:sz w:val="32"/>
          <w:szCs w:val="32"/>
        </w:rPr>
      </w:pPr>
      <w:r>
        <w:rPr>
          <w:rFonts w:ascii="Times New Roman" w:hAnsi="Times New Roman" w:eastAsia="楷体_GB2312"/>
          <w:b/>
          <w:sz w:val="32"/>
          <w:szCs w:val="32"/>
        </w:rPr>
        <w:t>项目支出情况</w:t>
      </w:r>
    </w:p>
    <w:p>
      <w:pPr>
        <w:spacing w:line="560" w:lineRule="exact"/>
        <w:ind w:firstLine="640" w:firstLineChars="200"/>
        <w:rPr>
          <w:rFonts w:ascii="宋体" w:hAnsi="宋体" w:cs="宋体"/>
          <w:b/>
          <w:sz w:val="32"/>
          <w:szCs w:val="32"/>
        </w:rPr>
      </w:pPr>
      <w:r>
        <w:rPr>
          <w:rFonts w:hint="eastAsia" w:ascii="宋体" w:hAnsi="宋体" w:cs="宋体"/>
          <w:bCs/>
          <w:sz w:val="32"/>
          <w:szCs w:val="32"/>
        </w:rPr>
        <w:t>2023年项目支出年初预算数为240万元，实际支出948.79万元。</w:t>
      </w:r>
    </w:p>
    <w:p>
      <w:pPr>
        <w:pStyle w:val="9"/>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9"/>
        <w:widowControl/>
        <w:spacing w:line="640" w:lineRule="exact"/>
        <w:ind w:firstLine="640"/>
        <w:rPr>
          <w:rFonts w:ascii="Times New Roman" w:hAnsi="Times New Roman" w:eastAsia="黑体"/>
          <w:sz w:val="32"/>
          <w:szCs w:val="32"/>
        </w:rPr>
      </w:pPr>
      <w:r>
        <w:rPr>
          <w:rFonts w:hint="eastAsia" w:ascii="宋体" w:hAnsi="宋体" w:cs="宋体"/>
          <w:sz w:val="32"/>
          <w:szCs w:val="32"/>
        </w:rPr>
        <w:t>无。</w:t>
      </w:r>
    </w:p>
    <w:p>
      <w:pPr>
        <w:pStyle w:val="9"/>
        <w:widowControl/>
        <w:numPr>
          <w:ilvl w:val="0"/>
          <w:numId w:val="3"/>
        </w:numPr>
        <w:spacing w:line="64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9"/>
        <w:widowControl/>
        <w:spacing w:line="640" w:lineRule="exact"/>
        <w:ind w:firstLine="0" w:firstLineChars="0"/>
        <w:rPr>
          <w:rFonts w:ascii="Times New Roman" w:hAnsi="Times New Roman" w:eastAsia="黑体"/>
          <w:sz w:val="32"/>
          <w:szCs w:val="32"/>
        </w:rPr>
      </w:pPr>
      <w:r>
        <w:rPr>
          <w:rFonts w:hint="eastAsia" w:ascii="Times New Roman" w:hAnsi="Times New Roman" w:eastAsia="黑体"/>
          <w:sz w:val="32"/>
          <w:szCs w:val="32"/>
        </w:rPr>
        <w:t xml:space="preserve">    </w:t>
      </w:r>
      <w:r>
        <w:rPr>
          <w:rFonts w:hint="eastAsia" w:ascii="宋体" w:hAnsi="宋体" w:cs="宋体"/>
          <w:sz w:val="32"/>
          <w:szCs w:val="32"/>
        </w:rPr>
        <w:t>无。</w:t>
      </w:r>
    </w:p>
    <w:p>
      <w:pPr>
        <w:pStyle w:val="9"/>
        <w:widowControl/>
        <w:numPr>
          <w:ilvl w:val="0"/>
          <w:numId w:val="3"/>
        </w:numPr>
        <w:spacing w:line="64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9"/>
        <w:widowControl/>
        <w:spacing w:line="640" w:lineRule="exact"/>
        <w:ind w:firstLine="640"/>
        <w:rPr>
          <w:rFonts w:ascii="宋体" w:hAnsi="宋体" w:cs="宋体"/>
          <w:sz w:val="32"/>
          <w:szCs w:val="32"/>
        </w:rPr>
      </w:pPr>
      <w:r>
        <w:rPr>
          <w:rFonts w:hint="eastAsia" w:ascii="宋体" w:hAnsi="宋体" w:cs="宋体"/>
          <w:sz w:val="32"/>
          <w:szCs w:val="32"/>
        </w:rPr>
        <w:t>无。</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ind w:firstLine="640" w:firstLineChars="200"/>
        <w:rPr>
          <w:rFonts w:ascii="宋体" w:hAnsi="宋体" w:cs="宋体"/>
          <w:color w:val="000000" w:themeColor="text1"/>
          <w:sz w:val="32"/>
          <w:szCs w:val="32"/>
        </w:rPr>
      </w:pPr>
      <w:r>
        <w:rPr>
          <w:rFonts w:hint="eastAsia" w:ascii="宋体" w:hAnsi="宋体" w:cs="宋体"/>
          <w:color w:val="000000" w:themeColor="text1"/>
          <w:sz w:val="32"/>
          <w:szCs w:val="32"/>
        </w:rPr>
        <w:t>2023年是全面贯彻党的二十大精神的开局之年，也是市考古研究和文物保护中心五合一成立后踏上新征程、履行新使命的重要一年。今年来，我们深入学习贯彻习近平新时代中国特色社会主义思想和党的二十大精神，紧紧围绕市文旅广电局工作要点，紧盯“双千亿”目标，深入实施项目谋划储备、文化遗产保护、考古勘探发掘、非遗保护传承等工程，以“时时放心不下”的责任感和“只争朝夕”的奋斗精神，谋事干事、善为善成，考古研究和文化遗产保护各项工作扎实推进、有力有序、有声有色、成效显著。</w:t>
      </w:r>
    </w:p>
    <w:p>
      <w:pPr>
        <w:pStyle w:val="2"/>
        <w:ind w:firstLine="640" w:firstLineChars="0"/>
        <w:rPr>
          <w:rFonts w:ascii="宋体" w:hAnsi="宋体" w:cs="宋体"/>
          <w:color w:val="000000" w:themeColor="text1"/>
          <w:sz w:val="32"/>
          <w:szCs w:val="32"/>
        </w:rPr>
      </w:pPr>
      <w:r>
        <w:rPr>
          <w:rFonts w:hint="eastAsia" w:ascii="宋体" w:hAnsi="宋体" w:cs="宋体"/>
          <w:color w:val="000000" w:themeColor="text1"/>
          <w:sz w:val="32"/>
          <w:szCs w:val="32"/>
        </w:rPr>
        <w:t>（一）坚持党建引领，焕发干部队伍建设新活力。</w:t>
      </w:r>
      <w:r>
        <w:rPr>
          <w:rFonts w:hint="eastAsia" w:ascii="宋体" w:hAnsi="宋体" w:cs="宋体"/>
          <w:color w:val="000000" w:themeColor="text1"/>
          <w:sz w:val="32"/>
          <w:szCs w:val="32"/>
          <w:shd w:val="clear" w:color="auto" w:fill="FFFFFF"/>
        </w:rPr>
        <w:t>一是保持思想从严，落实全面从严治党主体责任。切实履行“一岗双责”，坚持把党风廉政建设和反腐败工作与中心业务工作同研究、同部署、同落实、同检查，形成齐抓共管的合力；严格执行党建工作“第一议题”制度和班子成员年度述职述廉制度；强化“一把手”和领导班子的示范引领，推动主体责任和监督责任贯通协同、一体落实；严格执行廉政谈心谈话制度，一把手、班子成员同部室负责人全年谈心谈话80余人次；二是保持执纪从严，不断强化思想政治建设。定期开展党委中心组学习，扎实开展党风建设主题教育，带领党员干部“学思想、强党性、重实践、建新功”，坚持谋在先、学在深、抓在细、做在实，努力在以学铸魂、以学增智、以学正风、以学促干方面取得实实在在的成效。全年开展党员集中学习12次，党支部集中学习11次，青年理论小组集中学习11次，各支部党员人均学习时间长达32小时以上；先后组织全体党员干部、在职员工参观新墙河抗战纪念馆、洞庭南路红船艺术馆警示教育基地；开展“一月一片一课一实践”观影、四亮主题活动10余次；三是保持作风从严，坚决筑牢拒腐防变堤坝。持之以恒落实中央八项规定，驰而不息纠治“四风”，精准化开展政治监督，一体推进不敢腐、不能腐、不想腐；常态化开展警示教育，引导广大党员干部知敬畏、明底线、受警醒。先后组织全体干部职工学习《“违规吃喝”“违规打牌赌博”十严禁》、《关于进一步深化开展党员干部和公职人员酒驾醉驾问题专项治理工作方案》、《岳阳市领导干部违规插手干预工程建设项目招投标活动“十二不准”》、《关于深化整治领导干部违规收送红包礼金问题的通知》、《关于开展“两带头五整治”纠风防腐专项行动的实施方案》等文件精神；签订了十严禁承诺书；观看了《叩问初心》警示教育片；配合上级纪委对我中心开展劳动纪律和作风督查4次；四是保持监督从严，不断擦亮监督“探头”。认真履行监督职责，充分发挥“探头”和“哨兵”作用，在重点领域和关键环节完善规章制度，严格落实对“三重一大”项目的监督管理，先后监督中心“三重一大”事项决策会议15次。同时，加强对重点部室、重点岗位廉政教育和岗位廉政风险防范工作。</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二）坚持真抓实干，推动项目谋划储备显成效。先后组织编制了《全国重点文物保护单位岳阳文庙数字化保护利用项目计划书》、《全国重点文物保护单位岳阳楼地基加固前期勘察研究项目计划书》、《湘鄂赣边境地区（湖南境内）古代陆路交通遗存考古调查与研究保护项目计划书》、《湖南省省级文物保护单位君山摩崖石刻修缮工程计划书》、《湖南省省级文物保护单位鲁肃墓安防工程计划书》，共申报2023年度文物保护工程和考古调查项目计划5项，申请国家文物保护专项资金1474万元；完成了《岳阳100万吨/年乙烯炼化一体化项目文物调查勘探》国家级重点建设工程和《岳阳楼及岳阳文庙景区历史文化研学课程》省级项目申报工作；完成了历史文化名城保护资金项目申报工作，申报岳阳文庙保护设施建设工程等8个项目。该项目获市历史文化名城保护委员会2023年第一次会议审议通过，安排专项资金270.7万元，已实际拨付资金151.3万元。</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截止到11月30日止，我中心已实现争资到账资金530万元，争资争项成绩斐然，有效地实现了项目建设促进文物的有效保护和合理利用的目的。</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（三）坚持主动作为，恢复文庙传统规制创伟业。</w:t>
      </w:r>
      <w:r>
        <w:rPr>
          <w:rFonts w:hint="eastAsia" w:ascii="宋体" w:hAnsi="宋体" w:cs="宋体"/>
          <w:color w:val="000000" w:themeColor="text1"/>
          <w:kern w:val="2"/>
          <w:sz w:val="32"/>
          <w:szCs w:val="32"/>
        </w:rPr>
        <w:t>重点启动了恢复文庙传统规制工作。7月3日，邀请省市文化学者与文物专家，通过现场调研、专家座谈等方式为“恢复岳阳文庙传统规制，打造特色文化景区”建言献策。6月6日，市委常委、副市长李美云主持召开“市二中改扩建及岳阳文庙恢复传统规制”协调会。8月14日，市政府出台相关会议纪要，对调整土地划拨等问题进行明确，将市二中约14.7亩地（北侧5272.42m²、南侧4467m²）,连同市二中现有办公楼划归岳阳文庙，用于恢复岳阳文庙景区中轴线主院落和东院落传统规制和格局。目前，该项目以“岳阳文庙保护展示及配套服务设施建设项目”为名称已进入国家发改委项目库，已完成</w:t>
      </w:r>
      <w:r>
        <w:rPr>
          <w:rFonts w:hint="eastAsia" w:ascii="宋体" w:hAnsi="宋体" w:cs="宋体"/>
          <w:color w:val="000000" w:themeColor="text1"/>
          <w:sz w:val="32"/>
          <w:szCs w:val="32"/>
        </w:rPr>
        <w:t>项目可行性研究报告的编制、项目勘察设计方案（初步概念性设计）的编制、建设用地权属勘测定界图的勘测绘制、建设范围地下人防工程勘测等工作，</w:t>
      </w:r>
      <w:r>
        <w:rPr>
          <w:rFonts w:hint="eastAsia" w:ascii="宋体" w:hAnsi="宋体" w:cs="宋体"/>
          <w:color w:val="000000" w:themeColor="text1"/>
          <w:kern w:val="2"/>
          <w:sz w:val="32"/>
          <w:szCs w:val="32"/>
        </w:rPr>
        <w:t>林业选址论证、文物影响评估、方案评审正在走省和国家局程序。</w:t>
      </w:r>
    </w:p>
    <w:p>
      <w:pPr>
        <w:pStyle w:val="2"/>
        <w:ind w:firstLine="640"/>
        <w:rPr>
          <w:rFonts w:ascii="宋体" w:hAnsi="宋体" w:cs="宋体"/>
          <w:color w:val="000000" w:themeColor="text1"/>
          <w:kern w:val="2"/>
          <w:sz w:val="32"/>
          <w:szCs w:val="32"/>
        </w:rPr>
      </w:pPr>
      <w:r>
        <w:rPr>
          <w:rFonts w:hint="eastAsia" w:ascii="宋体" w:hAnsi="宋体" w:cs="宋体"/>
          <w:color w:val="000000" w:themeColor="text1"/>
          <w:sz w:val="32"/>
          <w:szCs w:val="32"/>
        </w:rPr>
        <w:t>（四）坚持务实创新，书写文物保护利用新篇章。先后推进</w:t>
      </w:r>
      <w:r>
        <w:rPr>
          <w:rFonts w:hint="eastAsia" w:ascii="宋体" w:hAnsi="宋体" w:cs="宋体"/>
          <w:color w:val="000000" w:themeColor="text1"/>
          <w:kern w:val="2"/>
          <w:sz w:val="32"/>
          <w:szCs w:val="32"/>
        </w:rPr>
        <w:t>完成了岳阳文庙东北角文化遗产展示区建设项目二期项目建设和岳阳文庙《科举·岳阳》展陈项目建设；完成了</w:t>
      </w:r>
      <w:r>
        <w:rPr>
          <w:rFonts w:hint="eastAsia" w:ascii="宋体" w:hAnsi="宋体" w:cs="宋体"/>
          <w:color w:val="000000" w:themeColor="text1"/>
          <w:sz w:val="32"/>
          <w:szCs w:val="32"/>
        </w:rPr>
        <w:t>岳阳文庙照壁浮雕建设、棂星门维修以及岳阳楼新碑廊维护和</w:t>
      </w:r>
      <w:r>
        <w:rPr>
          <w:rFonts w:hint="eastAsia" w:ascii="宋体" w:hAnsi="宋体" w:cs="宋体"/>
          <w:color w:val="000000" w:themeColor="text1"/>
          <w:kern w:val="2"/>
          <w:sz w:val="32"/>
          <w:szCs w:val="32"/>
        </w:rPr>
        <w:t>点将台维修等工程建设；完成了《岳阳楼及岳阳文庙历史文化研学课程开发》、《岳阳楼智慧保护AR互动游戏建设方案》项目申报；完成了岳州关修缮工程方案勘察设计编制、岳阳文庙大成殿保护修缮工程勘察设计方案的编制报批；完成了关帝庙遗存石构件的清理、考证与陈设；实施了岳阳文庙防雷接地地网迁移、白蚁防治、安防系统维修保养、庭院路灯升级改造等工程；完成了君山岛管辖范围内的界碑、界桩设立以及湘妃祠屋面修缮保护工程和摩崖石刻立项申报；对星云图周边环境和文物保护标志牌进行</w:t>
      </w:r>
      <w:r>
        <w:rPr>
          <w:rFonts w:hint="eastAsia" w:ascii="宋体" w:hAnsi="宋体" w:cs="宋体"/>
          <w:color w:val="000000" w:themeColor="text1"/>
          <w:sz w:val="32"/>
          <w:szCs w:val="32"/>
        </w:rPr>
        <w:t>了修缮和整治；印制了君山岛文物宣传册和非遗宣传册免费供游客携带阅读；完成了省、市安全检查共计11次。</w:t>
      </w:r>
    </w:p>
    <w:p>
      <w:pPr>
        <w:pStyle w:val="2"/>
        <w:ind w:firstLine="640"/>
        <w:rPr>
          <w:rFonts w:ascii="宋体" w:hAnsi="宋体" w:cs="宋体"/>
          <w:color w:val="000000" w:themeColor="text1"/>
          <w:kern w:val="2"/>
          <w:sz w:val="32"/>
          <w:szCs w:val="32"/>
        </w:rPr>
      </w:pPr>
      <w:r>
        <w:rPr>
          <w:rFonts w:hint="eastAsia" w:ascii="宋体" w:hAnsi="宋体" w:cs="宋体"/>
          <w:color w:val="000000" w:themeColor="text1"/>
          <w:kern w:val="2"/>
          <w:sz w:val="32"/>
          <w:szCs w:val="32"/>
        </w:rPr>
        <w:t>在岳阳文庙的活化利用方面，我们深入挖掘文庙蕴含的文化魅力，努力释放文物承载的文化力量，坚持一周开展一次活动，让广大游客和市民见其影、闻其声，感受传统文化的魅力，打造了文化底蕴深厚的国学讲堂，目前已开讲到第37课。先后举办了岳阳文庙首届“问礼巴陵·斯文在兹”礼乐艺术周活动、“高山仰止·心向往之”一举高中岳阳文庙中高考“祭孔祭笔”公益祈福活动、[毕业季]“少年有山河·踏过皆繁华”岳阳文庙朝圣感恩之旅活动、重阳秋思古琴雅集活动、我们的节日·岳阳文</w:t>
      </w:r>
      <w:bookmarkStart w:id="0" w:name="_GoBack"/>
      <w:bookmarkEnd w:id="0"/>
      <w:r>
        <w:rPr>
          <w:rFonts w:hint="eastAsia" w:ascii="宋体" w:hAnsi="宋体" w:cs="宋体"/>
          <w:color w:val="000000" w:themeColor="text1"/>
          <w:kern w:val="2"/>
          <w:sz w:val="32"/>
          <w:szCs w:val="32"/>
        </w:rPr>
        <w:t>庙“七夕汉服游园会”活动、“贤雅远达·润德无声”纪念孔子诞辰2574周年活动、“行古礼·共传承”拜师明理筑梦启航活动、“弦歌不辍”民乐音乐会活动、“金声玉振”“洞庭流殇”端午古琴雅集活动、“天下岳阳·同心悦读”读书分享会活动、“品儒学之韵·赏圣贤之光”新年开学第一课等系列活动。除此之外，我们还开发了状元书签、鸿瑞锦鲤礼盒钢笔套装、儒家心物风铃寄语、考绳等14样不同种类的文庙“儒家心物”文创系列产品；由国家文物出版社出版了《岳州文庙》一书；精心设计印制了《岳州文庙》宣传册页免费供游客携带阅读；研发了神秘考古、科举文化、儒学之道、非遗传承、国学礼仪等5套研学课程，年接待研学学生6万余人次。</w:t>
      </w:r>
    </w:p>
    <w:p>
      <w:pPr>
        <w:pStyle w:val="2"/>
        <w:ind w:firstLine="640"/>
        <w:rPr>
          <w:rFonts w:ascii="宋体" w:hAnsi="宋体" w:cs="宋体"/>
          <w:color w:val="000000" w:themeColor="text1"/>
          <w:kern w:val="2"/>
          <w:sz w:val="32"/>
          <w:szCs w:val="32"/>
        </w:rPr>
      </w:pPr>
      <w:r>
        <w:rPr>
          <w:rFonts w:hint="eastAsia" w:ascii="宋体" w:hAnsi="宋体" w:cs="宋体"/>
          <w:color w:val="000000" w:themeColor="text1"/>
          <w:kern w:val="2"/>
          <w:sz w:val="32"/>
          <w:szCs w:val="32"/>
        </w:rPr>
        <w:t>随着岳阳文庙的知名度和美誉度的不断扩大，吸引了来自央视四套《走遍中国》岳阳篇《穿越之旅》、央视二套《欢乐大猜想》、“食”鉴中国之美，“解”读中华之道，湖南卫视《中国有滋味》等国内、省内知名栏目组纷纷走进岳阳文庙进行拍摄。</w:t>
      </w:r>
    </w:p>
    <w:p>
      <w:pPr>
        <w:pStyle w:val="2"/>
        <w:ind w:firstLine="640"/>
        <w:rPr>
          <w:rFonts w:ascii="宋体" w:hAnsi="宋体" w:cs="宋体"/>
          <w:color w:val="000000" w:themeColor="text1"/>
          <w:kern w:val="2"/>
          <w:sz w:val="32"/>
          <w:szCs w:val="32"/>
        </w:rPr>
      </w:pPr>
      <w:r>
        <w:rPr>
          <w:rFonts w:hint="eastAsia" w:ascii="宋体" w:hAnsi="宋体" w:cs="宋体"/>
          <w:color w:val="000000" w:themeColor="text1"/>
          <w:sz w:val="32"/>
          <w:szCs w:val="32"/>
        </w:rPr>
        <w:t>（五）坚持深研细究，呈现考古研究成果新发现。</w:t>
      </w:r>
      <w:r>
        <w:rPr>
          <w:rFonts w:hint="eastAsia" w:ascii="宋体" w:hAnsi="宋体" w:cs="宋体"/>
          <w:color w:val="000000" w:themeColor="text1"/>
          <w:kern w:val="2"/>
          <w:sz w:val="32"/>
          <w:szCs w:val="32"/>
        </w:rPr>
        <w:t>一是配合岳阳地区基本建设进行文物调查、勘探和抢救性考古发掘。共涉及“三建”工地57余个，涉及面积620万余平方米。完成了岳阳市第三水厂、良心堡唐墓、湘阴S506公路明清墓葬等4个抢救性考古发掘，共发掘墓葬16座，出土文物7件；二是协助省文物考古研究所完成国家主动性文物考古课题；三是积极开展文物修复和科学研究。会同湖南省考古研究院对临湘市江南镇石岭村柳洲遗址进行了考古发掘，发掘出带刻画符号的陶片，这在湖南为首次发现，为汉文字起源研究提供了重要依据，同时出土的大量白陶也为研究白陶的流布及扩散线路提供了新的考古实物资料。修复了良心堡唐墓各类出土文物3件，正抓紧时间进行器物绘图和器物摄影和资料整理工作；四是完成了2023年市财政局下达的400万元非税收入征收任务。截止到12月中旬，已完成非税任务510万元</w:t>
      </w:r>
      <w:r>
        <w:rPr>
          <w:rFonts w:hint="eastAsia" w:ascii="宋体" w:hAnsi="宋体" w:cs="宋体"/>
          <w:color w:val="000000" w:themeColor="text1"/>
          <w:sz w:val="32"/>
          <w:szCs w:val="32"/>
        </w:rPr>
        <w:t>；</w:t>
      </w:r>
      <w:r>
        <w:rPr>
          <w:rFonts w:hint="eastAsia" w:ascii="宋体" w:hAnsi="宋体" w:cs="宋体"/>
          <w:color w:val="000000" w:themeColor="text1"/>
          <w:kern w:val="2"/>
          <w:sz w:val="32"/>
          <w:szCs w:val="32"/>
        </w:rPr>
        <w:t>五是配合市文旅广电局进行“三建”工地行政审批工作。已办结岳阳乙烯一体化等5个项目的建设工程文物保护和考古许可，已办理湘阴县虞公港文物调查勘探等5个项目。</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六）坚持守正创新，展示非物质文化遗产新成果。一是积极组织开展了《2023岳阳黄茶（君山银针）君山开茶节启动仪式》活动，作为承办单位，认真落实活动前期宣传策划和启动仪式现场直播等相关工作，圆满完成了工作任务，取得了良好的社会效应，得到了广大人民群众的点赞和市领导的高度评价；二是承办了2023年文化和自然遗产日宣传活动，以“洞庭一味·鱼韵悠长”为主题，通过巴陵全鱼席制作厨艺大赛、非遗项目展演、展示、展销及新媒体宣传等形式，加强全市非遗交流互动，凝聚更加广泛的社会关注和保护共识，全面展示近年来我市非遗保护传承工作取得的成果；三是申报了“岳州古城（岳阳楼－岳阳文庙－洞庭南路）”湖南省非物质文化遗产展示传播基地项目。</w:t>
      </w:r>
    </w:p>
    <w:p>
      <w:pPr>
        <w:widowControl/>
        <w:spacing w:line="640" w:lineRule="exact"/>
        <w:ind w:firstLine="640" w:firstLineChars="200"/>
        <w:rPr>
          <w:rFonts w:ascii="Times New Roman" w:hAnsi="Times New Roman" w:eastAsia="仿宋_GB2312"/>
          <w:color w:val="000000"/>
          <w:sz w:val="32"/>
          <w:szCs w:val="32"/>
        </w:rPr>
      </w:pPr>
      <w:r>
        <w:rPr>
          <w:rFonts w:hint="eastAsia" w:ascii="宋体" w:hAnsi="宋体" w:cs="宋体"/>
          <w:color w:val="000000" w:themeColor="text1"/>
          <w:sz w:val="32"/>
          <w:szCs w:val="32"/>
        </w:rPr>
        <w:t>（七）坚持团结奋进，树立文保队伍新形象。一是壮大了党员队伍。向局机关推荐入党积极分子1名；二是树立了标兵榜样。在市文旅广电局的七一表彰活动中，李泽明同志被评为“优秀党务工作者”，曾庆如、邓晓尧、李楠等三位同志被评为“优秀共产党员”；三是擦亮了身份标识。向局机关报送曾庆如、张凯、李泽明、陈潇月、李楠等五位同志为年度“党员示范岗”</w:t>
      </w:r>
      <w:r>
        <w:rPr>
          <w:rFonts w:hint="eastAsia" w:ascii="宋体" w:hAnsi="宋体" w:cs="宋体"/>
          <w:color w:val="000000"/>
          <w:sz w:val="32"/>
          <w:szCs w:val="32"/>
        </w:rPr>
        <w:t>。</w:t>
      </w:r>
    </w:p>
    <w:p>
      <w:pPr>
        <w:pStyle w:val="9"/>
        <w:widowControl/>
        <w:spacing w:line="640" w:lineRule="exact"/>
        <w:ind w:left="560" w:leftChars="200" w:firstLine="0" w:firstLineChars="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存在的问题及原因分析</w:t>
      </w:r>
    </w:p>
    <w:p>
      <w:pPr>
        <w:pStyle w:val="9"/>
        <w:widowControl/>
        <w:spacing w:line="640" w:lineRule="exact"/>
        <w:ind w:left="560" w:leftChars="200" w:firstLine="0" w:firstLineChars="0"/>
        <w:rPr>
          <w:rFonts w:ascii="宋体" w:hAnsi="宋体" w:cs="宋体"/>
          <w:sz w:val="32"/>
          <w:szCs w:val="32"/>
        </w:rPr>
      </w:pPr>
      <w:r>
        <w:rPr>
          <w:rFonts w:hint="eastAsia" w:ascii="宋体" w:hAnsi="宋体" w:cs="宋体"/>
          <w:sz w:val="32"/>
          <w:szCs w:val="32"/>
        </w:rPr>
        <w:t>无。</w:t>
      </w:r>
    </w:p>
    <w:p>
      <w:pPr>
        <w:widowControl/>
        <w:numPr>
          <w:ilvl w:val="0"/>
          <w:numId w:val="4"/>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2024年，将以习近平新时代中国特色社会主义思想为指导，全面贯彻落实习近平总书记关于文物工作重要论述和指示批示精神，围绕人民日益增长的精神文化需求和市文旅广电局2024年工作要点，凝聚文保人团结奋斗力量，勇担使命，踔厉奋发，着力赓续中华文脉、推动中华优秀传统文化创造性转化和创新性发展，推动我市文化事业和文化产业繁荣发展，为实现“三高四新”美好蓝图作出积极贡献、提供坚强保障。</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（一）知行合一 以更高站位抓思想认识</w:t>
      </w:r>
    </w:p>
    <w:p>
      <w:pPr>
        <w:pStyle w:val="2"/>
        <w:ind w:firstLine="0" w:firstLineChars="0"/>
        <w:rPr>
          <w:rFonts w:ascii="宋体" w:hAnsi="宋体" w:cs="宋体"/>
          <w:color w:val="000000" w:themeColor="text1"/>
          <w:sz w:val="32"/>
          <w:szCs w:val="32"/>
        </w:rPr>
      </w:pPr>
      <w:r>
        <w:rPr>
          <w:rFonts w:hint="eastAsia" w:ascii="宋体" w:hAnsi="宋体" w:cs="宋体"/>
          <w:color w:val="000000" w:themeColor="text1"/>
          <w:sz w:val="32"/>
          <w:szCs w:val="32"/>
        </w:rPr>
        <w:t xml:space="preserve">    始终牢记总书记殷殷嘱托，深入学习贯彻习近平总书记文化思想，深刻领悟其高度的文化自觉、深沉的文化自信、勇毅的文化担当，不断加强理论学习、厚实理论功底、提高理论素养，脚踏实地，真抓实干，把学习成果转化为坚定理想、锤炼党性和指导实践、推动工作的强大力量，以积极担当作为的精气神为党和人民履好职、尽好责，使中心各项工作朝着正确方向、按照客观规律推进。</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（二）凝心聚力 以更大决心抓项目储备</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按照省文物局的统一部署和2024年度文物项目申报计划，全面梳理直辖管理的文物保护单位现状，紧盯政策导向，合理谋划储备，坚持科学运作，对已批复的国家、省级计划项目，扎实做好后续跟进工作，确保项目资金及时到位。</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（三）稳扎稳打 以更强担当抓保护管理</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始终坚持二十二字文物工作方针，结合文化遗产保护工作实际，紧紧围绕新时代新征程使命任务，进一步加大文物保护力度，坚决守牢文物安全底线，积极与岳阳海关联系对接，大力推进全国重点文物保护单位岳州关管理使用权的移交工作；开展第四次全国文物普查工作；争取完成北通巫峡牌坊修缮工程，岳阳楼消防、安防工程以及君山岛星云图周边环境整治工程；切实履行三定方案的职责职能，加强对县市区文物管理机构的业务指导；建强高素质专业化人才队伍建设，以“重实干重实绩”为鲜明导向，增强广大干部的政治担当、历史担当、责任担当。</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（四）蹄疾步稳 以更实举措抓活化利用</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始终坚守初心使命，努力增强文化遗产保护高质量发展的紧迫感、责任感和使命感，扎实推进岳阳文庙恢复传统规制工作，打造岳阳文庙特色文化景区，按时按质完成省委巡视组和市委市政府交办的千秋伟业工程；</w:t>
      </w:r>
      <w:r>
        <w:rPr>
          <w:rFonts w:hint="eastAsia" w:ascii="宋体" w:hAnsi="宋体" w:cs="宋体"/>
          <w:sz w:val="32"/>
          <w:szCs w:val="32"/>
        </w:rPr>
        <w:t>举办《名楼论坛》和《纪念岳阳楼落架大修40周年》系列活动；</w:t>
      </w:r>
      <w:r>
        <w:rPr>
          <w:rFonts w:hint="eastAsia" w:ascii="宋体" w:hAnsi="宋体" w:cs="宋体"/>
          <w:color w:val="000000" w:themeColor="text1"/>
          <w:sz w:val="32"/>
          <w:szCs w:val="32"/>
        </w:rPr>
        <w:t>积极推动岳阳楼及岳阳文庙历史文化研学课程开发项目；持续开展国学讲堂和系列节会活动，号召青少年从国学经典中汲取营养和智慧，引导人民群众领会优秀传统文化的精神内涵和价值，让更多的人成为中华文化的传承者、弘扬者、践行者。</w:t>
      </w:r>
    </w:p>
    <w:p>
      <w:pPr>
        <w:pStyle w:val="2"/>
        <w:ind w:firstLine="640"/>
        <w:rPr>
          <w:rFonts w:ascii="宋体" w:hAnsi="宋体" w:cs="宋体"/>
          <w:color w:val="000000" w:themeColor="text1"/>
          <w:sz w:val="32"/>
          <w:szCs w:val="32"/>
        </w:rPr>
      </w:pPr>
      <w:r>
        <w:rPr>
          <w:rFonts w:hint="eastAsia" w:ascii="宋体" w:hAnsi="宋体" w:cs="宋体"/>
          <w:color w:val="000000" w:themeColor="text1"/>
          <w:sz w:val="32"/>
          <w:szCs w:val="32"/>
        </w:rPr>
        <w:t>（五）携手共进 以更大力度抓非遗传承</w:t>
      </w:r>
    </w:p>
    <w:p>
      <w:pPr>
        <w:pStyle w:val="2"/>
        <w:ind w:firstLine="640"/>
        <w:rPr>
          <w:rFonts w:ascii="宋体" w:hAnsi="宋体" w:cs="宋体"/>
          <w:sz w:val="32"/>
          <w:szCs w:val="32"/>
        </w:rPr>
      </w:pPr>
      <w:r>
        <w:rPr>
          <w:rFonts w:hint="eastAsia" w:ascii="宋体" w:hAnsi="宋体" w:cs="宋体"/>
          <w:color w:val="000000" w:themeColor="text1"/>
          <w:sz w:val="32"/>
          <w:szCs w:val="32"/>
        </w:rPr>
        <w:t>始终践行“两个结合”引领非遗文化传播传承，积极开展君山银针走进西藏公益活动，让“人类非物质文化遗产</w:t>
      </w:r>
      <w:r>
        <w:rPr>
          <w:rFonts w:hint="eastAsia" w:ascii="宋体" w:hAnsi="宋体" w:cs="宋体"/>
          <w:color w:val="000000" w:themeColor="text1"/>
          <w:kern w:val="2"/>
          <w:sz w:val="32"/>
          <w:szCs w:val="32"/>
        </w:rPr>
        <w:t>黄茶制作技艺（君山银针茶制作技艺）</w:t>
      </w:r>
      <w:r>
        <w:rPr>
          <w:rFonts w:hint="eastAsia" w:ascii="宋体" w:hAnsi="宋体" w:cs="宋体"/>
          <w:color w:val="000000" w:themeColor="text1"/>
          <w:sz w:val="32"/>
          <w:szCs w:val="32"/>
        </w:rPr>
        <w:t>”走出去，让更多人感受中国茶文化的独特魅力；举办2024年文化和自然遗产日宣传活动，进一步提高人民群众非物质文化遗产保护意识，坚定文化自信；修订完善《岳阳市非物质文化遗产保护工作手册》，为我市非遗保护工作提供有力支撑。</w:t>
      </w:r>
    </w:p>
    <w:p>
      <w:pPr>
        <w:widowControl/>
        <w:numPr>
          <w:ilvl w:val="0"/>
          <w:numId w:val="4"/>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pPr>
        <w:pStyle w:val="2"/>
        <w:ind w:firstLine="640"/>
        <w:rPr>
          <w:sz w:val="32"/>
          <w:szCs w:val="32"/>
        </w:rPr>
      </w:pPr>
      <w:r>
        <w:rPr>
          <w:rFonts w:hint="eastAsia"/>
          <w:sz w:val="32"/>
          <w:szCs w:val="32"/>
        </w:rPr>
        <w:t>部门整体支出绩效自评结果将作为完善本单位相关制度，改进资金管理的重要依据，同时，也将作为单位内部工作总结的参考依据。我单位的预算绩效目标、预算、决算及绩效评价等信息均按相关规定及时在市文化旅游广电局门户网站进行了公开，公开信息基础数据和会计信息资料准确、真实、完整。</w:t>
      </w:r>
    </w:p>
    <w:p>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其他需要说明的情况</w:t>
      </w:r>
    </w:p>
    <w:p>
      <w:pPr>
        <w:pStyle w:val="2"/>
        <w:ind w:firstLine="640"/>
        <w:rPr>
          <w:rFonts w:eastAsia="黑体"/>
        </w:rPr>
      </w:pPr>
      <w:r>
        <w:rPr>
          <w:rFonts w:hint="eastAsia" w:ascii="宋体" w:hAnsi="宋体" w:cs="宋体"/>
          <w:sz w:val="32"/>
          <w:szCs w:val="32"/>
        </w:rPr>
        <w:t>无。</w:t>
      </w:r>
    </w:p>
    <w:p>
      <w:pPr>
        <w:widowControl/>
        <w:spacing w:line="640" w:lineRule="exact"/>
        <w:ind w:firstLine="640" w:firstLineChars="200"/>
        <w:rPr>
          <w:rFonts w:ascii="Times New Roman" w:hAnsi="Times New Roman" w:eastAsia="仿宋_GB2312"/>
          <w:sz w:val="32"/>
          <w:szCs w:val="32"/>
        </w:rPr>
      </w:pPr>
    </w:p>
    <w:p>
      <w:pPr>
        <w:widowControl/>
        <w:spacing w:line="640" w:lineRule="exact"/>
        <w:ind w:firstLine="6400" w:firstLineChars="2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sz w:val="32"/>
          <w:szCs w:val="32"/>
        </w:rPr>
      </w:pPr>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3894E"/>
    <w:multiLevelType w:val="singleLevel"/>
    <w:tmpl w:val="B0C3894E"/>
    <w:lvl w:ilvl="0" w:tentative="0">
      <w:start w:val="1"/>
      <w:numFmt w:val="chineseCounting"/>
      <w:suff w:val="nothing"/>
      <w:lvlText w:val="%1、"/>
      <w:lvlJc w:val="left"/>
      <w:rPr>
        <w:rFonts w:hint="eastAsia"/>
      </w:rPr>
    </w:lvl>
  </w:abstractNum>
  <w:abstractNum w:abstractNumId="1">
    <w:nsid w:val="CC28861F"/>
    <w:multiLevelType w:val="singleLevel"/>
    <w:tmpl w:val="CC28861F"/>
    <w:lvl w:ilvl="0" w:tentative="0">
      <w:start w:val="8"/>
      <w:numFmt w:val="chineseCounting"/>
      <w:suff w:val="nothing"/>
      <w:lvlText w:val="%1、"/>
      <w:lvlJc w:val="left"/>
      <w:rPr>
        <w:rFonts w:hint="eastAsia"/>
      </w:rPr>
    </w:lvl>
  </w:abstractNum>
  <w:abstractNum w:abstractNumId="2">
    <w:nsid w:val="5C633516"/>
    <w:multiLevelType w:val="singleLevel"/>
    <w:tmpl w:val="5C633516"/>
    <w:lvl w:ilvl="0" w:tentative="0">
      <w:start w:val="4"/>
      <w:numFmt w:val="chineseCounting"/>
      <w:suff w:val="nothing"/>
      <w:lvlText w:val="%1、"/>
      <w:lvlJc w:val="left"/>
      <w:rPr>
        <w:rFonts w:hint="eastAsia"/>
      </w:rPr>
    </w:lvl>
  </w:abstractNum>
  <w:abstractNum w:abstractNumId="3">
    <w:nsid w:val="65B48BB6"/>
    <w:multiLevelType w:val="singleLevel"/>
    <w:tmpl w:val="65B48BB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kZTNkYzNhMjM2YjAzN2E1YmMzN2IzOWZiNDliYTQifQ=="/>
    <w:docVar w:name="KSO_WPS_MARK_KEY" w:val="a6747dd6-2461-4eeb-92b5-d200f9e1b93b"/>
  </w:docVars>
  <w:rsids>
    <w:rsidRoot w:val="59886344"/>
    <w:rsid w:val="004168AB"/>
    <w:rsid w:val="009030C5"/>
    <w:rsid w:val="00E84825"/>
    <w:rsid w:val="00F6731E"/>
    <w:rsid w:val="05AE1F53"/>
    <w:rsid w:val="06E76DCF"/>
    <w:rsid w:val="08D64810"/>
    <w:rsid w:val="09CB6DC6"/>
    <w:rsid w:val="0A62744E"/>
    <w:rsid w:val="0AAD0CA0"/>
    <w:rsid w:val="0C3F55A4"/>
    <w:rsid w:val="0E263246"/>
    <w:rsid w:val="0EE52393"/>
    <w:rsid w:val="106250FC"/>
    <w:rsid w:val="12DF414D"/>
    <w:rsid w:val="16F559F5"/>
    <w:rsid w:val="18A30356"/>
    <w:rsid w:val="1CD3261D"/>
    <w:rsid w:val="1D3F5629"/>
    <w:rsid w:val="20686C00"/>
    <w:rsid w:val="23AD5156"/>
    <w:rsid w:val="243158CC"/>
    <w:rsid w:val="24F50F9C"/>
    <w:rsid w:val="25357B3E"/>
    <w:rsid w:val="25C95CEA"/>
    <w:rsid w:val="2A6A7F86"/>
    <w:rsid w:val="2C3A0591"/>
    <w:rsid w:val="31C145DB"/>
    <w:rsid w:val="31C4412B"/>
    <w:rsid w:val="347552F6"/>
    <w:rsid w:val="349E40E0"/>
    <w:rsid w:val="36DA7FC7"/>
    <w:rsid w:val="387B6691"/>
    <w:rsid w:val="391C6CF8"/>
    <w:rsid w:val="3B2447AD"/>
    <w:rsid w:val="3C656005"/>
    <w:rsid w:val="3CC4098F"/>
    <w:rsid w:val="3D4754F3"/>
    <w:rsid w:val="3D841540"/>
    <w:rsid w:val="3DAA3658"/>
    <w:rsid w:val="3E14748F"/>
    <w:rsid w:val="3E1A2D0B"/>
    <w:rsid w:val="3FBA1D2D"/>
    <w:rsid w:val="3FE13186"/>
    <w:rsid w:val="402F654B"/>
    <w:rsid w:val="403707EE"/>
    <w:rsid w:val="41526B64"/>
    <w:rsid w:val="431B186C"/>
    <w:rsid w:val="43F1563D"/>
    <w:rsid w:val="44813479"/>
    <w:rsid w:val="45C47C73"/>
    <w:rsid w:val="464C17F0"/>
    <w:rsid w:val="49D35066"/>
    <w:rsid w:val="4C4D12AC"/>
    <w:rsid w:val="4CE672CD"/>
    <w:rsid w:val="4F8E1F5F"/>
    <w:rsid w:val="56551E9F"/>
    <w:rsid w:val="56691BCD"/>
    <w:rsid w:val="57BB4615"/>
    <w:rsid w:val="59886344"/>
    <w:rsid w:val="5A451352"/>
    <w:rsid w:val="5C845437"/>
    <w:rsid w:val="5F2025EF"/>
    <w:rsid w:val="5F242CF4"/>
    <w:rsid w:val="613415B7"/>
    <w:rsid w:val="620307DC"/>
    <w:rsid w:val="62092846"/>
    <w:rsid w:val="634D3145"/>
    <w:rsid w:val="64657340"/>
    <w:rsid w:val="64C8053C"/>
    <w:rsid w:val="695928D6"/>
    <w:rsid w:val="6BD61760"/>
    <w:rsid w:val="6BF52807"/>
    <w:rsid w:val="6D7B034B"/>
    <w:rsid w:val="6E894E68"/>
    <w:rsid w:val="70172912"/>
    <w:rsid w:val="71ED06FC"/>
    <w:rsid w:val="747954B5"/>
    <w:rsid w:val="75F81DC9"/>
    <w:rsid w:val="77AD7356"/>
    <w:rsid w:val="7AB11D10"/>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eastAsia="仿宋" w:cs="仿宋"/>
      <w:sz w:val="31"/>
      <w:szCs w:val="31"/>
      <w:lang w:eastAsia="en-US"/>
    </w:rPr>
  </w:style>
  <w:style w:type="paragraph" w:styleId="4">
    <w:name w:val="Body Text Indent"/>
    <w:basedOn w:val="1"/>
    <w:qFormat/>
    <w:uiPriority w:val="0"/>
    <w:pPr>
      <w:ind w:left="420" w:leftChars="200"/>
    </w:pPr>
  </w:style>
  <w:style w:type="paragraph" w:styleId="5">
    <w:name w:val="Body Text First Indent 2"/>
    <w:basedOn w:val="4"/>
    <w:qFormat/>
    <w:uiPriority w:val="0"/>
    <w:pPr>
      <w:ind w:firstLine="420" w:firstLineChars="200"/>
    </w:pPr>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9430</Words>
  <Characters>1958</Characters>
  <Lines>16</Lines>
  <Paragraphs>22</Paragraphs>
  <TotalTime>119</TotalTime>
  <ScaleCrop>false</ScaleCrop>
  <LinksUpToDate>false</LinksUpToDate>
  <CharactersWithSpaces>11366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Administrator</cp:lastModifiedBy>
  <dcterms:modified xsi:type="dcterms:W3CDTF">2024-07-02T08:26:07Z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C4E3491583B64C22A590D1392DC89737</vt:lpwstr>
  </property>
</Properties>
</file>