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岳阳市科学技术局</w:t>
      </w:r>
      <w:r>
        <w:rPr>
          <w:rFonts w:hint="eastAsia" w:ascii="方正小标宋简体" w:hAnsi="方正小标宋简体" w:eastAsia="方正小标宋简体" w:cs="方正小标宋简体"/>
          <w:sz w:val="44"/>
          <w:szCs w:val="44"/>
          <w:highlight w:val="none"/>
        </w:rPr>
        <w:t>部门整体支出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1.负责全市科学技术进步的宏观管理和统筹协调。贯彻执行国家、省科技法律、法规和方针、政策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牵头拟订全市科技发展规划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确定科技发展的战略布局和优先发展领域</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拟订相关政策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并监督实施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参与对经济社会发展有重大影响的跨部门、多学科的综合性项目的论证与决策。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2.组织实施市科技重大专项工作。制定相关配套政策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组织科技重大专项实施中的方案论证、评审立项、跟踪管理与评估验收等</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统筹申报和组织实施国家、省科技重大专项工作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协调市科技重大专项与国家、省科技重大专项的衔接与配套。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3.负责组织实施市级科技计划工作。负责组织制定和实施基础研究计划、科技支撑计划、科技创新引导计划等各类市级科技计划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负责相关国家、省科技计划项目申报、推荐和管理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牵头组织全市经济社会发展重要领域的重大关键技术攻关。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4.牵头组织全市农村和社会发展领域的科技进步工作。组织拟订科技促进农村和社会发展的规划和政策。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5.牵头组织协调促进全市产学研结合工作。会同有关部门拟订促进产学研结合的相关政策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组织重大科技成果应用示范</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加强科技成果转化和推广</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推动企业技术创新能力建设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拟订促进技术市场、科技中介组织发展政策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负责全市技术市场体系建设和管理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推进科技服务体系发展。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6.主管全市高新技术的研究开发、成果转化以及产业化工作。会同有关部门拟订高新技术发展及产业化的规划和政策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组织实施市高新技术产业化重大科技项目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归口管理和指导协调高新技术产业开发区等科技园区及特色产业化基地建设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组织认定高新技术企业、技术先进型服务企业和自主创新产品等相关工作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指导并推动高新技术企业创新发展</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参与高新创业投资有关工作。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7.会同有关部门提出全市科技体制改革的政策和措施建议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推进全市创新体系建设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审核相关科研机构的组建和调整。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8.负责本部门及归口管理的市级科技经费预决算和经费使用的监督管理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会同有关部门制定多渠道增加科技投入的政策措施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组织拟定全市科研条件保障的规划和相关政策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负责制定并会同有关部门实施全市科技基础条件平台建设计划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推进科技基础条件平台共建共享</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会同有关部门提出科技资源合理配置的政策建议。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9.拟订全市国际与区域科技合作与交流的规划、政策和措施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负责组织实施国际与区域科技合作计划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承办与国外政府间以及国际组织间科技合作和交流事宜。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10.归口管理全市引进国(境)外智力工作。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11.负责全市科学普及工作，拟订全市科普工作规划和相关政策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组织实施科普计划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负责市级科普基地和示范基地认定</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进行督促检查</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推动科普工作发展。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12.负责全市科技人才有关工作。会同有关部门拟订科技人才队伍建设规划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提出相关政策建议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承担全市科技人才队伍建设和科技创新团队建设有关工作。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13.负责全市科技奖励、科技保密、科技评估、科技统计、科技信息管理等工作。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14.承办市委、市人民政府交办其他事项。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局机关内设科室 11 个</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即办公室、政策法规科、战略规划与资源配置科、基础研究科、高新技术发展及产业化科、农村科技科、社会发展科技科、成果转化与区域创新科、人事科(人才工作办公室) 、机关党委、机关纪委。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sz w:val="32"/>
          <w:szCs w:val="32"/>
          <w:lang w:val="en-US" w:eastAsia="zh-CN"/>
        </w:rPr>
        <w:t>下设直属单位 1 个</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市科技事务中心。</w:t>
      </w:r>
    </w:p>
    <w:p>
      <w:pPr>
        <w:pStyle w:val="6"/>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一般公共预算支出情况</w:t>
      </w:r>
    </w:p>
    <w:p>
      <w:pPr>
        <w:pStyle w:val="6"/>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基本支出情况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auto"/>
          <w:kern w:val="0"/>
          <w:sz w:val="32"/>
          <w:szCs w:val="32"/>
          <w:lang w:val="en-US" w:eastAsia="zh-CN" w:bidi="ar-SA"/>
        </w:rPr>
        <w:t>202</w:t>
      </w:r>
      <w:r>
        <w:rPr>
          <w:rFonts w:hint="default" w:ascii="仿宋_GB2312" w:hAnsi="仿宋_GB2312" w:eastAsia="仿宋_GB2312" w:cs="仿宋_GB2312"/>
          <w:color w:val="auto"/>
          <w:kern w:val="0"/>
          <w:sz w:val="32"/>
          <w:szCs w:val="32"/>
          <w:lang w:val="en" w:eastAsia="zh-CN" w:bidi="ar-SA"/>
        </w:rPr>
        <w:t>3</w:t>
      </w:r>
      <w:r>
        <w:rPr>
          <w:rFonts w:hint="eastAsia" w:ascii="仿宋_GB2312" w:hAnsi="仿宋_GB2312" w:eastAsia="仿宋_GB2312" w:cs="仿宋_GB2312"/>
          <w:color w:val="auto"/>
          <w:kern w:val="0"/>
          <w:sz w:val="32"/>
          <w:szCs w:val="32"/>
          <w:lang w:val="en-US" w:eastAsia="zh-CN" w:bidi="ar-SA"/>
        </w:rPr>
        <w:t>年度</w:t>
      </w:r>
      <w:r>
        <w:rPr>
          <w:rFonts w:hint="eastAsia" w:ascii="仿宋_GB2312" w:hAnsi="仿宋_GB2312" w:eastAsia="仿宋_GB2312" w:cs="仿宋_GB2312"/>
          <w:kern w:val="0"/>
          <w:sz w:val="32"/>
          <w:szCs w:val="32"/>
          <w:lang w:val="en-US" w:eastAsia="zh-CN" w:bidi="ar-SA"/>
        </w:rPr>
        <w:t>我单位基本支出708.28万元，其中：一般公共服务支出2.00万元；科学技术支出582.56万元；社会保障和就业支出53.08万元；卫生健康支出37.66万元，住房保障支出32.98万元。</w:t>
      </w:r>
    </w:p>
    <w:p>
      <w:pPr>
        <w:pStyle w:val="6"/>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kern w:val="0"/>
          <w:sz w:val="32"/>
          <w:szCs w:val="32"/>
          <w:lang w:val="en-US" w:eastAsia="zh-CN" w:bidi="ar-SA"/>
        </w:rPr>
        <w:t>202</w:t>
      </w:r>
      <w:r>
        <w:rPr>
          <w:rFonts w:hint="default" w:ascii="仿宋_GB2312" w:hAnsi="仿宋_GB2312" w:eastAsia="仿宋_GB2312" w:cs="仿宋_GB2312"/>
          <w:kern w:val="0"/>
          <w:sz w:val="32"/>
          <w:szCs w:val="32"/>
          <w:lang w:val="en" w:eastAsia="zh-CN" w:bidi="ar-SA"/>
        </w:rPr>
        <w:t>3</w:t>
      </w:r>
      <w:r>
        <w:rPr>
          <w:rFonts w:hint="eastAsia" w:ascii="仿宋_GB2312" w:hAnsi="仿宋_GB2312" w:eastAsia="仿宋_GB2312" w:cs="仿宋_GB2312"/>
          <w:kern w:val="0"/>
          <w:sz w:val="32"/>
          <w:szCs w:val="32"/>
          <w:lang w:val="en-US" w:eastAsia="zh-CN" w:bidi="ar-SA"/>
        </w:rPr>
        <w:t>年度我单位项目支出411.28万元，其中：科学技术支出411.28万元。</w:t>
      </w:r>
    </w:p>
    <w:p>
      <w:pPr>
        <w:pStyle w:val="6"/>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lang w:val="en-US" w:eastAsia="zh-CN"/>
        </w:rPr>
        <w:t>无。</w:t>
      </w:r>
    </w:p>
    <w:p>
      <w:pPr>
        <w:pStyle w:val="6"/>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lang w:val="en-US" w:eastAsia="zh-CN"/>
        </w:rPr>
        <w:t>无。</w:t>
      </w:r>
    </w:p>
    <w:p>
      <w:pPr>
        <w:pStyle w:val="6"/>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年度整体工作开展情况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楷体_GB2312" w:hAnsi="楷体_GB2312" w:eastAsia="楷体_GB2312" w:cs="楷体_GB2312"/>
          <w:b/>
          <w:bCs/>
          <w:sz w:val="32"/>
          <w:szCs w:val="32"/>
          <w:lang w:val="en-US" w:eastAsia="zh-CN"/>
        </w:rPr>
        <w:t>科技创新攻坚不断加力。</w:t>
      </w:r>
      <w:r>
        <w:rPr>
          <w:rFonts w:hint="eastAsia" w:ascii="仿宋_GB2312" w:hAnsi="仿宋_GB2312" w:eastAsia="仿宋_GB2312" w:cs="仿宋_GB2312"/>
          <w:b/>
          <w:bCs/>
          <w:sz w:val="32"/>
          <w:szCs w:val="32"/>
          <w:lang w:val="en-US" w:eastAsia="zh-CN"/>
        </w:rPr>
        <w:t>迅速组建专班。</w:t>
      </w:r>
      <w:r>
        <w:rPr>
          <w:rFonts w:hint="eastAsia" w:ascii="仿宋_GB2312" w:hAnsi="仿宋_GB2312" w:eastAsia="仿宋_GB2312" w:cs="仿宋_GB2312"/>
          <w:b w:val="0"/>
          <w:bCs w:val="0"/>
          <w:sz w:val="32"/>
          <w:szCs w:val="32"/>
          <w:lang w:val="en-US" w:eastAsia="zh-CN"/>
        </w:rPr>
        <w:t>市县同题共答，各部门同向发力，建立政策、项目、任务”，紧盯指标，挂图作战。</w:t>
      </w:r>
      <w:r>
        <w:rPr>
          <w:rFonts w:hint="eastAsia" w:ascii="仿宋_GB2312" w:hAnsi="仿宋_GB2312" w:eastAsia="仿宋_GB2312" w:cs="仿宋_GB2312"/>
          <w:b/>
          <w:bCs/>
          <w:sz w:val="32"/>
          <w:szCs w:val="32"/>
          <w:lang w:val="en-US" w:eastAsia="zh-CN"/>
        </w:rPr>
        <w:t>抓好统筹调度。</w:t>
      </w:r>
      <w:r>
        <w:rPr>
          <w:rFonts w:hint="eastAsia" w:ascii="仿宋_GB2312" w:hAnsi="仿宋_GB2312" w:eastAsia="仿宋_GB2312" w:cs="仿宋_GB2312"/>
          <w:b w:val="0"/>
          <w:bCs w:val="0"/>
          <w:sz w:val="32"/>
          <w:szCs w:val="32"/>
          <w:lang w:val="en-US" w:eastAsia="zh-CN"/>
        </w:rPr>
        <w:t>“月调度、旬专报、季讲评”机制，建立信息化调度平台，定期召开讲评会，亮成绩、晒问题。</w:t>
      </w:r>
      <w:r>
        <w:rPr>
          <w:rFonts w:hint="eastAsia" w:ascii="仿宋_GB2312" w:hAnsi="仿宋_GB2312" w:eastAsia="仿宋_GB2312" w:cs="仿宋_GB2312"/>
          <w:b/>
          <w:bCs/>
          <w:sz w:val="32"/>
          <w:szCs w:val="32"/>
          <w:lang w:val="en-US" w:eastAsia="zh-CN"/>
        </w:rPr>
        <w:t>突出宣传引导。</w:t>
      </w:r>
      <w:r>
        <w:rPr>
          <w:rFonts w:hint="eastAsia" w:ascii="仿宋_GB2312" w:hAnsi="仿宋_GB2312" w:eastAsia="仿宋_GB2312" w:cs="仿宋_GB2312"/>
          <w:b w:val="0"/>
          <w:bCs w:val="0"/>
          <w:sz w:val="32"/>
          <w:szCs w:val="32"/>
          <w:lang w:val="en-US" w:eastAsia="zh-CN"/>
        </w:rPr>
        <w:t>省专报第11期岳阳典型经验《岳阳聚力推进万亿石化产业发展》获省长批示肯定，巴陵石化年产60万吨，己内酰胺产业链搬迁与升级转型发展项目推荐为加快构建4×4现代化产业体系的标志性成果，农业核心关键技术攻关相关信息被《科技日报》、《光明日报》等中央主流媒体推荐3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楷体_GB2312" w:hAnsi="楷体_GB2312" w:eastAsia="楷体_GB2312" w:cs="楷体_GB2312"/>
          <w:b/>
          <w:bCs/>
          <w:sz w:val="32"/>
          <w:szCs w:val="32"/>
          <w:lang w:val="en-US" w:eastAsia="zh-CN"/>
        </w:rPr>
        <w:t>科技创新能力不断提升。</w:t>
      </w:r>
      <w:r>
        <w:rPr>
          <w:rFonts w:hint="eastAsia" w:ascii="仿宋_GB2312" w:hAnsi="仿宋_GB2312" w:eastAsia="仿宋_GB2312" w:cs="仿宋_GB2312"/>
          <w:b/>
          <w:bCs/>
          <w:sz w:val="32"/>
          <w:szCs w:val="32"/>
          <w:lang w:val="en-US" w:eastAsia="zh-CN"/>
        </w:rPr>
        <w:t>创新主体实现新增长。</w:t>
      </w:r>
      <w:r>
        <w:rPr>
          <w:rFonts w:hint="eastAsia" w:ascii="仿宋_GB2312" w:hAnsi="仿宋_GB2312" w:eastAsia="仿宋_GB2312" w:cs="仿宋_GB2312"/>
          <w:b w:val="0"/>
          <w:bCs w:val="0"/>
          <w:sz w:val="32"/>
          <w:szCs w:val="32"/>
          <w:lang w:val="en-US" w:eastAsia="zh-CN"/>
        </w:rPr>
        <w:t>今年科技型中小企业共入库2533家，总量和增速均排名全省A类地区第二名。申报高新技术企业437家，净增高企148家，总数达914家，在全省排名前进一位。引进65名博士和900多名“双一流”高校硕士，引入省科技创新“三尖”人才33人，建成省级院士工作站、省级院士专家工作站7家，累计培育省、市级科技创新创业人才团队157个。</w:t>
      </w:r>
      <w:r>
        <w:rPr>
          <w:rFonts w:hint="eastAsia" w:ascii="仿宋_GB2312" w:hAnsi="仿宋_GB2312" w:eastAsia="仿宋_GB2312" w:cs="仿宋_GB2312"/>
          <w:b/>
          <w:bCs/>
          <w:sz w:val="32"/>
          <w:szCs w:val="32"/>
          <w:lang w:val="en-US" w:eastAsia="zh-CN"/>
        </w:rPr>
        <w:t>投入产出实现新提升。</w:t>
      </w:r>
      <w:r>
        <w:rPr>
          <w:rFonts w:hint="eastAsia" w:ascii="仿宋_GB2312" w:hAnsi="仿宋_GB2312" w:eastAsia="仿宋_GB2312" w:cs="仿宋_GB2312"/>
          <w:b w:val="0"/>
          <w:bCs w:val="0"/>
          <w:sz w:val="32"/>
          <w:szCs w:val="32"/>
          <w:lang w:val="en-US" w:eastAsia="zh-CN"/>
        </w:rPr>
        <w:t>42个基础研究项目获得湖南省自然科学省市（岳阳）联合基金立项。1-11月，累计为264家企业发放知识价值信用贷款8亿元。全市已认定登记技术合同4391项，合同成交额439.21亿元，同比分别增长159.82%和124.02%。</w:t>
      </w:r>
      <w:r>
        <w:rPr>
          <w:rFonts w:hint="eastAsia" w:ascii="仿宋_GB2312" w:hAnsi="仿宋_GB2312" w:eastAsia="仿宋_GB2312" w:cs="仿宋_GB2312"/>
          <w:b/>
          <w:bCs/>
          <w:sz w:val="32"/>
          <w:szCs w:val="32"/>
          <w:lang w:val="en-US" w:eastAsia="zh-CN"/>
        </w:rPr>
        <w:t>技术攻关实现新突破。</w:t>
      </w:r>
      <w:r>
        <w:rPr>
          <w:rFonts w:hint="eastAsia" w:ascii="仿宋_GB2312" w:hAnsi="仿宋_GB2312" w:eastAsia="仿宋_GB2312" w:cs="仿宋_GB2312"/>
          <w:b w:val="0"/>
          <w:bCs w:val="0"/>
          <w:sz w:val="32"/>
          <w:szCs w:val="32"/>
          <w:lang w:val="en-US" w:eastAsia="zh-CN"/>
        </w:rPr>
        <w:t>世界首台可变径斜井岩石隧道掘进机“天岳号”顺利始发。创新“产学研用”合作模式，突破各类关键技术6项。聚仁化工申报的攻关需求被列入全省2023年制造业关键产品“揭榜挂帅”榜单。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楷体_GB2312" w:hAnsi="楷体_GB2312" w:eastAsia="楷体_GB2312" w:cs="楷体_GB2312"/>
          <w:b/>
          <w:bCs/>
          <w:sz w:val="32"/>
          <w:szCs w:val="32"/>
          <w:lang w:val="en-US" w:eastAsia="zh-CN"/>
        </w:rPr>
        <w:t>科技创新平台不断壮大。</w:t>
      </w:r>
      <w:r>
        <w:rPr>
          <w:rFonts w:hint="eastAsia" w:ascii="仿宋_GB2312" w:hAnsi="仿宋_GB2312" w:eastAsia="仿宋_GB2312" w:cs="仿宋_GB2312"/>
          <w:b/>
          <w:bCs/>
          <w:sz w:val="32"/>
          <w:szCs w:val="32"/>
          <w:lang w:val="en-US" w:eastAsia="zh-CN"/>
        </w:rPr>
        <w:t>积极融入省四大实验室。</w:t>
      </w:r>
      <w:r>
        <w:rPr>
          <w:rFonts w:hint="eastAsia" w:ascii="仿宋_GB2312" w:hAnsi="仿宋_GB2312" w:eastAsia="仿宋_GB2312" w:cs="仿宋_GB2312"/>
          <w:b w:val="0"/>
          <w:bCs w:val="0"/>
          <w:sz w:val="32"/>
          <w:szCs w:val="32"/>
          <w:lang w:val="en-US" w:eastAsia="zh-CN"/>
        </w:rPr>
        <w:t>洞庭实验室大楼已正式开工建设，并组建了汨罗长乐甜酒研发中心和华容芥菜研究中心；岳麓山种业创新中心洞庭湖区域中心与刘少军、印遇龙等8个院士团队，在优质鱼类繁育、畜禽繁育等方面开展了12个合作项目；湘江实验室区域创新中心围绕数字政府、智慧岳阳等领域创新合作项目。</w:t>
      </w:r>
      <w:r>
        <w:rPr>
          <w:rFonts w:hint="eastAsia" w:ascii="仿宋_GB2312" w:hAnsi="仿宋_GB2312" w:eastAsia="仿宋_GB2312" w:cs="仿宋_GB2312"/>
          <w:b/>
          <w:bCs/>
          <w:sz w:val="32"/>
          <w:szCs w:val="32"/>
          <w:lang w:val="en-US" w:eastAsia="zh-CN"/>
        </w:rPr>
        <w:t>着力推进国省平台创建。</w:t>
      </w:r>
      <w:r>
        <w:rPr>
          <w:rFonts w:hint="eastAsia" w:ascii="仿宋_GB2312" w:hAnsi="仿宋_GB2312" w:eastAsia="仿宋_GB2312" w:cs="仿宋_GB2312"/>
          <w:b w:val="0"/>
          <w:bCs w:val="0"/>
          <w:sz w:val="32"/>
          <w:szCs w:val="32"/>
          <w:lang w:val="en-US" w:eastAsia="zh-CN"/>
        </w:rPr>
        <w:t>君山区被农业农村部列入第四批创建国家农业绿色发展先行区。截至目前，新增国家级、省级重点实验室，技术创新中心等科创平台61个。</w:t>
      </w:r>
      <w:r>
        <w:rPr>
          <w:rFonts w:hint="eastAsia" w:ascii="仿宋_GB2312" w:hAnsi="仿宋_GB2312" w:eastAsia="仿宋_GB2312" w:cs="仿宋_GB2312"/>
          <w:b/>
          <w:bCs/>
          <w:sz w:val="32"/>
          <w:szCs w:val="32"/>
          <w:lang w:val="en-US" w:eastAsia="zh-CN"/>
        </w:rPr>
        <w:t>加快建设岳阳国家农高区。</w:t>
      </w:r>
      <w:r>
        <w:rPr>
          <w:rFonts w:hint="eastAsia" w:ascii="仿宋_GB2312" w:hAnsi="仿宋_GB2312" w:eastAsia="仿宋_GB2312" w:cs="仿宋_GB2312"/>
          <w:b w:val="0"/>
          <w:bCs w:val="0"/>
          <w:sz w:val="32"/>
          <w:szCs w:val="32"/>
          <w:lang w:val="en-US" w:eastAsia="zh-CN"/>
        </w:rPr>
        <w:t>以屈原管理区为核心区的岳阳国家农业科技园区已争取中央、省级财政资金2750万元，出台16条市级支持措施，现已开工建设岳阳国家农高区科创大楼，涉农高新技术企业增加至12家。同时，加速推进与大院大所大企的科技合作，成功举办首届“看禾选种”现场观摩会暨“湖南岳阳禾田议事”主题学术沙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楷体_GB2312" w:hAnsi="楷体_GB2312" w:eastAsia="楷体_GB2312" w:cs="楷体_GB2312"/>
          <w:b/>
          <w:bCs/>
          <w:sz w:val="32"/>
          <w:szCs w:val="32"/>
          <w:lang w:val="en-US" w:eastAsia="zh-CN"/>
        </w:rPr>
        <w:t>四是科技创新氛围不断浓厚。</w:t>
      </w:r>
      <w:r>
        <w:rPr>
          <w:rFonts w:hint="eastAsia" w:ascii="仿宋_GB2312" w:hAnsi="仿宋_GB2312" w:eastAsia="仿宋_GB2312" w:cs="仿宋_GB2312"/>
          <w:b/>
          <w:bCs/>
          <w:sz w:val="32"/>
          <w:szCs w:val="32"/>
          <w:lang w:val="en-US" w:eastAsia="zh-CN"/>
        </w:rPr>
        <w:t>市级高度重视。</w:t>
      </w:r>
      <w:r>
        <w:rPr>
          <w:rFonts w:hint="eastAsia" w:ascii="仿宋_GB2312" w:hAnsi="仿宋_GB2312" w:eastAsia="仿宋_GB2312" w:cs="仿宋_GB2312"/>
          <w:b w:val="0"/>
          <w:bCs w:val="0"/>
          <w:sz w:val="32"/>
          <w:szCs w:val="32"/>
          <w:lang w:val="en-US" w:eastAsia="zh-CN"/>
        </w:rPr>
        <w:t>成立科技领导小组，市委常委会、市政府常务会今年先后6次专题研究科技创新工作，“四大家”领导出席国家创新型城市建设推进会暨全市科技创新大会，市主要领导亲自调度推动融入省“四大实验室”工作，在全省高校科技成果转化专题座谈会上作典型发言。</w:t>
      </w:r>
      <w:r>
        <w:rPr>
          <w:rFonts w:hint="eastAsia" w:ascii="仿宋_GB2312" w:hAnsi="仿宋_GB2312" w:eastAsia="仿宋_GB2312" w:cs="仿宋_GB2312"/>
          <w:b/>
          <w:bCs/>
          <w:sz w:val="32"/>
          <w:szCs w:val="32"/>
          <w:lang w:val="en-US" w:eastAsia="zh-CN"/>
        </w:rPr>
        <w:t>县市积极跟进。</w:t>
      </w:r>
      <w:r>
        <w:rPr>
          <w:rFonts w:hint="eastAsia" w:ascii="仿宋_GB2312" w:hAnsi="仿宋_GB2312" w:eastAsia="仿宋_GB2312" w:cs="仿宋_GB2312"/>
          <w:b w:val="0"/>
          <w:bCs w:val="0"/>
          <w:sz w:val="32"/>
          <w:szCs w:val="32"/>
          <w:lang w:val="en-US" w:eastAsia="zh-CN"/>
        </w:rPr>
        <w:t>湘阴荣获全国首批创新型县，平江、华容、云溪成功获批建设第二批创新型县（市、区）。省级高新区实现六县市全覆盖，总数8个，排全省第一，岳阳经开区、岳阳高新区、临湘高新区、华容高新区获批湖南自贸试验区协同联动区。</w:t>
      </w:r>
      <w:r>
        <w:rPr>
          <w:rFonts w:hint="eastAsia" w:ascii="仿宋_GB2312" w:hAnsi="仿宋_GB2312" w:eastAsia="仿宋_GB2312" w:cs="仿宋_GB2312"/>
          <w:b/>
          <w:bCs/>
          <w:sz w:val="32"/>
          <w:szCs w:val="32"/>
          <w:lang w:val="en-US" w:eastAsia="zh-CN"/>
        </w:rPr>
        <w:t>社会广泛参与。</w:t>
      </w:r>
      <w:r>
        <w:rPr>
          <w:rFonts w:hint="eastAsia" w:ascii="仿宋_GB2312" w:hAnsi="仿宋_GB2312" w:eastAsia="仿宋_GB2312" w:cs="仿宋_GB2312"/>
          <w:b w:val="0"/>
          <w:bCs w:val="0"/>
          <w:sz w:val="32"/>
          <w:szCs w:val="32"/>
          <w:lang w:val="en-US" w:eastAsia="zh-CN"/>
        </w:rPr>
        <w:t>湖南聚仁化工新材料科技有限公司和岳阳凯门水性助剂有限公司分别荣获去年中国双创大赛全国总决赛成长组一等奖和今年的三等奖。积极组队参加第六届全国科学实验展演汇演并荣获全国二等奖。高质量承办第44届湖南省青少年科技创新大赛，组织开展科技活动周，成功举办2023年岳阳市创新创业大赛暨现代石化专业赛。</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w:t>
      </w:r>
      <w:r>
        <w:rPr>
          <w:rFonts w:hint="default" w:ascii="Times New Roman" w:hAnsi="Times New Roman" w:eastAsia="楷体_GB2312" w:cs="Times New Roman"/>
          <w:b/>
          <w:kern w:val="0"/>
          <w:sz w:val="32"/>
          <w:szCs w:val="32"/>
          <w:lang w:val="en-US" w:eastAsia="zh-CN" w:bidi="ar-SA"/>
        </w:rPr>
        <w:t>部门整体支出的管理状况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重视预算支出绩效评估工作，成立了以局领导和办公室及相关科室负责人组成的预算支出绩效评估领导小组，强化了各科室的预算管理意识。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重视财政预算资金管理方面制度的学习，不断提高各科室的业务工作能力。如及时组织局财务系统人员学习《行政事业单位内部控制规范》。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w:t>
      </w:r>
      <w:r>
        <w:rPr>
          <w:rFonts w:hint="eastAsia" w:ascii="Times New Roman" w:hAnsi="Times New Roman" w:eastAsia="仿宋_GB2312" w:cs="Times New Roman"/>
          <w:color w:val="000000"/>
          <w:kern w:val="0"/>
          <w:sz w:val="32"/>
          <w:szCs w:val="32"/>
          <w:lang w:val="en-US" w:eastAsia="zh-CN" w:bidi="ar-SA"/>
        </w:rPr>
        <w:t>.提高思想认识，强化制度管理，</w:t>
      </w:r>
      <w:r>
        <w:rPr>
          <w:rFonts w:hint="default" w:ascii="Times New Roman" w:hAnsi="Times New Roman" w:eastAsia="仿宋_GB2312" w:cs="Times New Roman"/>
          <w:color w:val="000000"/>
          <w:kern w:val="0"/>
          <w:sz w:val="32"/>
          <w:szCs w:val="32"/>
          <w:lang w:val="en-US" w:eastAsia="zh-CN" w:bidi="ar-SA"/>
        </w:rPr>
        <w:t>建立了单位整体支出管理方面的内控制度，并不断进行完善和修订。</w:t>
      </w:r>
      <w:r>
        <w:rPr>
          <w:rFonts w:hint="eastAsia" w:ascii="Times New Roman" w:hAnsi="Times New Roman" w:eastAsia="仿宋_GB2312" w:cs="Times New Roman"/>
          <w:color w:val="000000"/>
          <w:kern w:val="0"/>
          <w:sz w:val="32"/>
          <w:szCs w:val="32"/>
          <w:lang w:val="en-US" w:eastAsia="zh-CN" w:bidi="ar-SA"/>
        </w:rPr>
        <w:t>重新梳理修订了《岳阳市科学技术局采购工作内部控制制度》、《岳阳市科学技术局预算管理制度》等七个内部控制制度，</w:t>
      </w:r>
      <w:r>
        <w:rPr>
          <w:rFonts w:hint="default" w:ascii="Times New Roman" w:hAnsi="Times New Roman" w:eastAsia="仿宋_GB2312" w:cs="Times New Roman"/>
          <w:color w:val="000000"/>
          <w:kern w:val="0"/>
          <w:sz w:val="32"/>
          <w:szCs w:val="32"/>
          <w:lang w:val="en-US" w:eastAsia="zh-CN" w:bidi="ar-SA"/>
        </w:rPr>
        <w:t>加强了单位内部控制及对</w:t>
      </w:r>
      <w:r>
        <w:rPr>
          <w:rFonts w:hint="default" w:ascii="Times New Roman" w:hAnsi="Times New Roman" w:eastAsia="仿宋_GB2312" w:cs="Times New Roman"/>
          <w:color w:val="000000"/>
          <w:kern w:val="0"/>
          <w:sz w:val="32"/>
          <w:szCs w:val="32"/>
          <w:lang w:val="en" w:eastAsia="zh-CN" w:bidi="ar-SA"/>
        </w:rPr>
        <w:t>预算执行</w:t>
      </w:r>
      <w:r>
        <w:rPr>
          <w:rFonts w:hint="default" w:ascii="Times New Roman" w:hAnsi="Times New Roman" w:eastAsia="仿宋_GB2312" w:cs="Times New Roman"/>
          <w:color w:val="000000"/>
          <w:kern w:val="0"/>
          <w:sz w:val="32"/>
          <w:szCs w:val="32"/>
          <w:lang w:val="en-US" w:eastAsia="zh-CN" w:bidi="ar-SA"/>
        </w:rPr>
        <w:t>的控制</w:t>
      </w:r>
      <w:r>
        <w:rPr>
          <w:rFonts w:hint="default" w:ascii="Times New Roman" w:hAnsi="Times New Roman" w:eastAsia="仿宋_GB2312" w:cs="Times New Roman"/>
          <w:color w:val="000000"/>
          <w:kern w:val="0"/>
          <w:sz w:val="32"/>
          <w:szCs w:val="32"/>
          <w:lang w:val="en" w:eastAsia="zh-CN" w:bidi="ar-SA"/>
        </w:rPr>
        <w:t>管理</w:t>
      </w:r>
      <w:r>
        <w:rPr>
          <w:rFonts w:hint="default"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r>
        <w:rPr>
          <w:rFonts w:hint="default" w:ascii="Times New Roman" w:hAnsi="Times New Roman" w:eastAsia="仿宋_GB2312" w:cs="Times New Roman"/>
          <w:color w:val="000000"/>
          <w:kern w:val="0"/>
          <w:sz w:val="32"/>
          <w:szCs w:val="32"/>
          <w:lang w:val="en-US" w:eastAsia="zh-CN" w:bidi="ar-SA"/>
        </w:rPr>
        <w:t>严格制度的执行，特别是三公经费的控制。通过加强对公务用车的管理，对招待费用审批、审核的严格控制，三公经费较好的控制在预算范围之内。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（三）</w:t>
      </w:r>
      <w:r>
        <w:rPr>
          <w:rFonts w:hint="default" w:ascii="Times New Roman" w:hAnsi="Times New Roman" w:eastAsia="楷体_GB2312" w:cs="Times New Roman"/>
          <w:b/>
          <w:kern w:val="0"/>
          <w:sz w:val="32"/>
          <w:szCs w:val="32"/>
          <w:lang w:val="en-US" w:eastAsia="zh-CN" w:bidi="ar-SA"/>
        </w:rPr>
        <w:t>专项资金管理情况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对专项资金的管理我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遵循专款专用、单独核算的管理原则；专项项目的申报严格按照财政资金管理的要求进行，专项资金财政拨款到位后及时进行了项目的开展和资金的投入。对专项资金的管理按照项目支出涉及的经济科目的明细项目，根据财务管理办法的相关制度执行。</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预算绩效管理工作稍显薄弱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虽然绩效评价工作已经开展，但有待进一步提升</w:t>
      </w:r>
      <w:r>
        <w:rPr>
          <w:rFonts w:hint="eastAsia" w:ascii="Times New Roman" w:hAnsi="Times New Roman" w:eastAsia="仿宋_GB2312" w:cs="Times New Roman"/>
          <w:color w:val="000000"/>
          <w:kern w:val="0"/>
          <w:sz w:val="32"/>
          <w:szCs w:val="32"/>
          <w:lang w:val="en-US" w:eastAsia="zh-CN" w:bidi="ar-SA"/>
        </w:rPr>
        <w:t>预算</w:t>
      </w:r>
      <w:r>
        <w:rPr>
          <w:rFonts w:hint="default" w:ascii="Times New Roman" w:hAnsi="Times New Roman" w:eastAsia="仿宋_GB2312" w:cs="Times New Roman"/>
          <w:color w:val="000000"/>
          <w:kern w:val="0"/>
          <w:sz w:val="32"/>
          <w:szCs w:val="32"/>
          <w:lang w:val="en-US" w:eastAsia="zh-CN" w:bidi="ar-SA"/>
        </w:rPr>
        <w:t>绩效管理工作水平。</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_GB2312" w:cs="Times New Roman"/>
          <w:b/>
          <w:kern w:val="0"/>
          <w:sz w:val="32"/>
          <w:szCs w:val="32"/>
          <w:lang w:val="en-US" w:eastAsia="zh-CN" w:bidi="ar-SA"/>
        </w:rPr>
      </w:pPr>
      <w:r>
        <w:rPr>
          <w:rFonts w:hint="default" w:ascii="Times New Roman" w:hAnsi="Times New Roman" w:eastAsia="楷体_GB2312" w:cs="Times New Roman"/>
          <w:b/>
          <w:kern w:val="0"/>
          <w:sz w:val="32"/>
          <w:szCs w:val="32"/>
          <w:lang w:val="en-US" w:eastAsia="zh-CN" w:bidi="ar-SA"/>
        </w:rPr>
        <w:t>人员</w:t>
      </w:r>
      <w:r>
        <w:rPr>
          <w:rFonts w:hint="eastAsia" w:ascii="Times New Roman" w:hAnsi="Times New Roman" w:eastAsia="楷体_GB2312" w:cs="Times New Roman"/>
          <w:b/>
          <w:kern w:val="0"/>
          <w:sz w:val="32"/>
          <w:szCs w:val="32"/>
          <w:lang w:val="en-US" w:eastAsia="zh-CN" w:bidi="ar-SA"/>
        </w:rPr>
        <w:t>专业素养</w:t>
      </w:r>
      <w:r>
        <w:rPr>
          <w:rFonts w:hint="default" w:ascii="Times New Roman" w:hAnsi="Times New Roman" w:eastAsia="楷体_GB2312" w:cs="Times New Roman"/>
          <w:b/>
          <w:kern w:val="0"/>
          <w:sz w:val="32"/>
          <w:szCs w:val="32"/>
          <w:lang w:val="en-US" w:eastAsia="zh-CN" w:bidi="ar-SA"/>
        </w:rPr>
        <w:t>有待进</w:t>
      </w: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由于绩效管理工作开展时间短，我</w:t>
      </w:r>
      <w:r>
        <w:rPr>
          <w:rFonts w:hint="eastAsia" w:ascii="Times New Roman" w:hAnsi="Times New Roman" w:eastAsia="仿宋_GB2312" w:cs="Times New Roman"/>
          <w:color w:val="000000"/>
          <w:kern w:val="0"/>
          <w:sz w:val="32"/>
          <w:szCs w:val="32"/>
          <w:lang w:val="en-US" w:eastAsia="zh-CN" w:bidi="ar-SA"/>
        </w:rPr>
        <w:t>局</w:t>
      </w:r>
      <w:r>
        <w:rPr>
          <w:rFonts w:hint="default" w:ascii="Times New Roman" w:hAnsi="Times New Roman" w:eastAsia="仿宋_GB2312" w:cs="Times New Roman"/>
          <w:color w:val="000000"/>
          <w:kern w:val="0"/>
          <w:sz w:val="32"/>
          <w:szCs w:val="32"/>
          <w:lang w:val="en-US" w:eastAsia="zh-CN" w:bidi="ar-SA"/>
        </w:rPr>
        <w:t>财务人员变动大，加上缺乏系统的培训，对预算绩效管理理解不充分，对工作重点把握不到位。</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（一）</w:t>
      </w:r>
      <w:r>
        <w:rPr>
          <w:rFonts w:hint="default" w:ascii="Times New Roman" w:hAnsi="Times New Roman" w:eastAsia="仿宋_GB2312" w:cs="Times New Roman"/>
          <w:b/>
          <w:bCs/>
          <w:color w:val="000000"/>
          <w:kern w:val="0"/>
          <w:sz w:val="32"/>
          <w:szCs w:val="32"/>
          <w:lang w:val="en-US" w:eastAsia="zh-CN" w:bidi="ar-SA"/>
        </w:rPr>
        <w:t>细化预算编制工作，认真做好预算的编制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进一步加强局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积极对接项目资金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对财政资金下达时间滞后的项目，加强与财政部门的沟通联系，尽早取得资金的拨付，保障项目资金的投入进度，发挥资金的使用效益。</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加强人员业务素质的提高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采取集中学习、讲座、专题会议等方式，进一步统一认识，充实业务知识，提高预算绩效管理方面的理论、实务和具体操作水平，真正掌握预算绩效管理方法和操作规范，解决想干而不会干、任务完成质量不好、工作效率不高的问题，避免盲目工作、被动工作等现象。</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不断提高机关管理水平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rPr>
      </w:pPr>
      <w:r>
        <w:rPr>
          <w:rFonts w:hint="eastAsia" w:ascii="仿宋_GB2312" w:hAnsi="仿宋_GB2312" w:eastAsia="仿宋_GB2312" w:cs="仿宋_GB2312"/>
          <w:b w:val="0"/>
          <w:bCs w:val="0"/>
          <w:sz w:val="32"/>
          <w:szCs w:val="32"/>
          <w:lang w:val="en-US" w:eastAsia="zh-CN"/>
        </w:rPr>
        <w:t>机关和事务中心财务合并，预算经费统一调配使用，优化公用经费支出，提高经费使用效益，确保机关高效运行。聘请第三方会计师事务所对机关和事务中心进行资产清查和财务报表审计。</w:t>
      </w:r>
    </w:p>
    <w:p>
      <w:pPr>
        <w:keepNext w:val="0"/>
        <w:keepLines w:val="0"/>
        <w:pageBreakBefore w:val="0"/>
        <w:widowControl/>
        <w:numPr>
          <w:numId w:val="0"/>
        </w:numPr>
        <w:kinsoku/>
        <w:wordWrap/>
        <w:overflowPunct/>
        <w:topLinePunct w:val="0"/>
        <w:autoSpaceDE/>
        <w:autoSpaceDN/>
        <w:bidi w:val="0"/>
        <w:adjustRightInd/>
        <w:snapToGrid/>
        <w:spacing w:line="640" w:lineRule="exact"/>
        <w:ind w:leftChars="200"/>
        <w:jc w:val="both"/>
        <w:textAlignment w:val="auto"/>
        <w:rPr>
          <w:rFonts w:hint="default"/>
        </w:rPr>
      </w:pPr>
      <w:r>
        <w:rPr>
          <w:rFonts w:hint="eastAsia"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部门整体支出绩效自评结果拟应用和公开情况</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jc w:val="both"/>
        <w:textAlignment w:val="auto"/>
        <w:rPr>
          <w:rFonts w:hint="default"/>
        </w:rPr>
      </w:pPr>
      <w:r>
        <w:rPr>
          <w:rFonts w:hint="default" w:ascii="仿宋_GB2312" w:hAnsi="仿宋_GB2312" w:eastAsia="仿宋_GB2312" w:cs="仿宋_GB2312"/>
          <w:b w:val="0"/>
          <w:bCs w:val="0"/>
          <w:kern w:val="0"/>
          <w:sz w:val="32"/>
          <w:szCs w:val="32"/>
          <w:lang w:val="en-US" w:eastAsia="zh-CN" w:bidi="ar-SA"/>
        </w:rPr>
        <w:t>部门整体支出绩效自评结果</w:t>
      </w:r>
      <w:r>
        <w:rPr>
          <w:rFonts w:hint="eastAsia" w:ascii="仿宋_GB2312" w:hAnsi="仿宋_GB2312" w:eastAsia="仿宋_GB2312" w:cs="仿宋_GB2312"/>
          <w:b w:val="0"/>
          <w:bCs w:val="0"/>
          <w:kern w:val="0"/>
          <w:sz w:val="32"/>
          <w:szCs w:val="32"/>
          <w:lang w:val="en-US" w:eastAsia="zh-CN" w:bidi="ar-SA"/>
        </w:rPr>
        <w:t>拟在岳阳市科技局单位官网网站上公示。</w:t>
      </w:r>
    </w:p>
    <w:p>
      <w:pPr>
        <w:keepNext w:val="0"/>
        <w:keepLines w:val="0"/>
        <w:pageBreakBefore w:val="0"/>
        <w:widowControl/>
        <w:numPr>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C685"/>
    <w:multiLevelType w:val="singleLevel"/>
    <w:tmpl w:val="9CEFC685"/>
    <w:lvl w:ilvl="0" w:tentative="0">
      <w:start w:val="2"/>
      <w:numFmt w:val="chineseCounting"/>
      <w:suff w:val="nothing"/>
      <w:lvlText w:val="（%1）"/>
      <w:lvlJc w:val="left"/>
      <w:rPr>
        <w:rFonts w:hint="eastAsia"/>
      </w:rPr>
    </w:lvl>
  </w:abstractNum>
  <w:abstractNum w:abstractNumId="1">
    <w:nsid w:val="AFDDA960"/>
    <w:multiLevelType w:val="singleLevel"/>
    <w:tmpl w:val="AFDDA960"/>
    <w:lvl w:ilvl="0" w:tentative="0">
      <w:start w:val="1"/>
      <w:numFmt w:val="chineseCounting"/>
      <w:suff w:val="nothing"/>
      <w:lvlText w:val="%1、"/>
      <w:lvlJc w:val="left"/>
      <w:rPr>
        <w:rFonts w:hint="eastAsia"/>
      </w:rPr>
    </w:lvl>
  </w:abstractNum>
  <w:abstractNum w:abstractNumId="2">
    <w:nsid w:val="CDFB0085"/>
    <w:multiLevelType w:val="singleLevel"/>
    <w:tmpl w:val="CDFB0085"/>
    <w:lvl w:ilvl="0" w:tentative="0">
      <w:start w:val="8"/>
      <w:numFmt w:val="chineseCounting"/>
      <w:suff w:val="nothing"/>
      <w:lvlText w:val="%1、"/>
      <w:lvlJc w:val="left"/>
      <w:rPr>
        <w:rFonts w:hint="eastAsia"/>
      </w:rPr>
    </w:lvl>
  </w:abstractNum>
  <w:abstractNum w:abstractNumId="3">
    <w:nsid w:val="DFDF7730"/>
    <w:multiLevelType w:val="singleLevel"/>
    <w:tmpl w:val="DFDF7730"/>
    <w:lvl w:ilvl="0" w:tentative="0">
      <w:start w:val="1"/>
      <w:numFmt w:val="chineseCounting"/>
      <w:suff w:val="nothing"/>
      <w:lvlText w:val="（%1）"/>
      <w:lvlJc w:val="left"/>
      <w:rPr>
        <w:rFonts w:hint="eastAsia"/>
      </w:rPr>
    </w:lvl>
  </w:abstractNum>
  <w:abstractNum w:abstractNumId="4">
    <w:nsid w:val="73F7349D"/>
    <w:multiLevelType w:val="singleLevel"/>
    <w:tmpl w:val="73F7349D"/>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65E1B"/>
    <w:rsid w:val="7B27BBC1"/>
    <w:rsid w:val="B7B77E8F"/>
    <w:rsid w:val="B7F65E1B"/>
    <w:rsid w:val="FFF9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semiHidden/>
    <w:qFormat/>
    <w:uiPriority w:val="0"/>
    <w:rPr>
      <w:rFonts w:ascii="仿宋" w:hAnsi="仿宋" w:eastAsia="仿宋" w:cs="仿宋"/>
      <w:sz w:val="31"/>
      <w:szCs w:val="31"/>
      <w:lang w:val="en-US" w:eastAsia="en-US" w:bidi="ar-SA"/>
    </w:rPr>
  </w:style>
  <w:style w:type="paragraph" w:styleId="6">
    <w:name w:val="List Paragraph"/>
    <w:basedOn w:val="1"/>
    <w:qFormat/>
    <w:uiPriority w:val="99"/>
    <w:pPr>
      <w:ind w:firstLine="420" w:firstLineChars="200"/>
    </w:pPr>
    <w:rPr>
      <w:rFonts w:ascii="Calibri" w:hAnsi="Calibri"/>
      <w:szCs w:val="22"/>
    </w:rPr>
  </w:style>
  <w:style w:type="paragraph" w:customStyle="1" w:styleId="7">
    <w:name w:val="样式2"/>
    <w:basedOn w:val="1"/>
    <w:qFormat/>
    <w:uiPriority w:val="99"/>
    <w:pPr>
      <w:shd w:val="clear" w:color="auto" w:fill="FFFFFF"/>
      <w:spacing w:before="100" w:beforeAutospacing="1" w:after="100" w:afterAutospacing="1"/>
      <w:ind w:left="562"/>
      <w:jc w:val="center"/>
    </w:pPr>
    <w:rPr>
      <w:rFonts w:ascii="??" w:hAnsi="??" w:cs="??"/>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2024-07-03T19:39:00Z</dcterms:created>
  <dc:creator>xjkp</dc:creator>
  <cp:lastModifiedBy>xjkp</cp:lastModifiedBy>
  <cp:lastPrinted>2024-07-04T09:09:34Z</cp:lastPrinted>
  <dcterms:modified xsi:type="dcterms:W3CDTF">2024-07-04T09:39:51Z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