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pStyle w:val="2"/>
        <w:ind w:left="0" w:leftChars="0" w:firstLine="0" w:firstLineChars="0"/>
        <w:rPr>
          <w:rFonts w:hint="default"/>
          <w:color w:val="000000" w:themeColor="text1"/>
          <w14:textFill>
            <w14:solidFill>
              <w14:schemeClr w14:val="tx1"/>
            </w14:solidFill>
          </w14:textFill>
        </w:rPr>
      </w:pPr>
    </w:p>
    <w:p>
      <w:pPr>
        <w:pStyle w:val="2"/>
        <w:ind w:left="0" w:leftChars="0" w:firstLine="0" w:firstLineChars="0"/>
        <w:rPr>
          <w:rFonts w:hint="default"/>
          <w:color w:val="000000" w:themeColor="text1"/>
          <w14:textFill>
            <w14:solidFill>
              <w14:schemeClr w14:val="tx1"/>
            </w14:solidFill>
          </w14:textFill>
        </w:rPr>
      </w:pPr>
    </w:p>
    <w:p>
      <w:pPr>
        <w:pStyle w:val="2"/>
        <w:ind w:left="0" w:leftChars="0" w:firstLine="0" w:firstLineChars="0"/>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t>202</w:t>
      </w:r>
      <w:r>
        <w:rPr>
          <w:rFonts w:hint="default" w:ascii="Times New Roman" w:hAnsi="Times New Roman" w:eastAsia="方正小标宋简体" w:cs="Times New Roman"/>
          <w:b/>
          <w:bCs/>
          <w:color w:val="000000" w:themeColor="text1"/>
          <w:sz w:val="44"/>
          <w:szCs w:val="44"/>
          <w:highlight w:val="none"/>
          <w:lang w:val="en-US" w:eastAsia="zh-CN"/>
          <w14:textFill>
            <w14:solidFill>
              <w14:schemeClr w14:val="tx1"/>
            </w14:solidFill>
          </w14:textFill>
        </w:rPr>
        <w:t>3</w:t>
      </w:r>
      <w:r>
        <w:rPr>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t>年度岳阳市住房保障服务中心整体支出绩效自评报告</w:t>
      </w:r>
    </w:p>
    <w:p>
      <w:pPr>
        <w:jc w:val="center"/>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jc w:val="both"/>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2"/>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2"/>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2"/>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both"/>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jc w:val="center"/>
        <w:rPr>
          <w:rFonts w:hint="default" w:ascii="Times New Roman" w:hAnsi="Times New Roman" w:eastAsia="黑体" w:cs="Times New Roman"/>
          <w:color w:val="000000" w:themeColor="text1"/>
          <w:sz w:val="32"/>
          <w:szCs w:val="32"/>
          <w:highlight w:val="none"/>
          <w14:textFill>
            <w14:solidFill>
              <w14:schemeClr w14:val="tx1"/>
            </w14:solidFill>
          </w14:textFill>
        </w:rPr>
      </w:pPr>
    </w:p>
    <w:p>
      <w:pPr>
        <w:pStyle w:val="2"/>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单位名称：</w:t>
      </w: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岳阳市住房保障服务中心</w:t>
      </w:r>
    </w:p>
    <w:p>
      <w:pPr>
        <w:keepNext w:val="0"/>
        <w:keepLines w:val="0"/>
        <w:pageBreakBefore w:val="0"/>
        <w:widowControl w:val="0"/>
        <w:kinsoku/>
        <w:wordWrap/>
        <w:overflowPunct/>
        <w:topLinePunct w:val="0"/>
        <w:autoSpaceDE/>
        <w:autoSpaceDN/>
        <w:bidi w:val="0"/>
        <w:adjustRightInd/>
        <w:snapToGrid/>
        <w:spacing w:line="900" w:lineRule="exact"/>
        <w:ind w:left="-280" w:leftChars="-100" w:right="-92" w:rightChars="-33" w:firstLine="0" w:firstLineChars="0"/>
        <w:jc w:val="center"/>
        <w:textAlignment w:val="auto"/>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pP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2024</w:t>
      </w: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年</w:t>
      </w: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 xml:space="preserve"> 6</w:t>
      </w: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月</w:t>
      </w:r>
      <w:r>
        <w:rPr>
          <w:rFonts w:hint="eastAsia" w:ascii="Times New Roman" w:hAnsi="Times New Roman" w:eastAsia="方正小标宋简体" w:cs="Times New Roman"/>
          <w:b/>
          <w:bCs/>
          <w:color w:val="000000" w:themeColor="text1"/>
          <w:sz w:val="32"/>
          <w:szCs w:val="32"/>
          <w:highlight w:val="none"/>
          <w:lang w:val="en-US" w:eastAsia="zh-CN"/>
          <w14:textFill>
            <w14:solidFill>
              <w14:schemeClr w14:val="tx1"/>
            </w14:solidFill>
          </w14:textFill>
        </w:rPr>
        <w:t>25</w:t>
      </w:r>
      <w:r>
        <w:rPr>
          <w:rFonts w:hint="eastAsia" w:ascii="Times New Roman" w:hAnsi="Times New Roman" w:eastAsia="方正小标宋简体" w:cs="Times New Roman"/>
          <w:b/>
          <w:bCs/>
          <w:color w:val="000000" w:themeColor="text1"/>
          <w:sz w:val="32"/>
          <w:szCs w:val="32"/>
          <w:highlight w:val="none"/>
          <w14:textFill>
            <w14:solidFill>
              <w14:schemeClr w14:val="tx1"/>
            </w14:solidFill>
          </w14:textFill>
        </w:rPr>
        <w:t>日</w:t>
      </w:r>
    </w:p>
    <w:p>
      <w:pPr>
        <w:spacing w:line="360" w:lineRule="auto"/>
        <w:ind w:left="-280" w:leftChars="-100" w:right="-92" w:rightChars="-33" w:firstLine="0" w:firstLineChars="0"/>
        <w:jc w:val="cente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ind w:left="-280" w:leftChars="-100" w:right="-92" w:rightChars="-33" w:firstLine="0" w:firstLineChars="0"/>
        <w:jc w:val="cente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202</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3</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年度</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岳阳市住房保障服务中心</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整体支出</w:t>
      </w:r>
    </w:p>
    <w:p>
      <w:pPr>
        <w:jc w:val="center"/>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绩效自评报告</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（一）</w:t>
      </w: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部门职能概述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岳阳市住房保障服务中心为市住房和城乡建设局所属副处级公益一类事业单位。主要职能职责有：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lang w:val="en-US" w:eastAsia="zh-CN"/>
          <w14:textFill>
            <w14:solidFill>
              <w14:schemeClr w14:val="tx1"/>
            </w14:solidFill>
          </w14:textFill>
        </w:rPr>
        <w:t>一是为机关提供支持保障职能</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参与拟定住房保障的地方性法规、规章、政策以及住房保障、物业管理、白蚁防治、房屋租赁、提质改造、城市人居环境更新、专项维修资金管理的发展规划、年度计划的事务性工作。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负责全市住房保障、物业管理、白蚁防治、房屋租赁、提质改造等行业管理、业务指导、监督考核的行政辅助工作。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负责市本级保障性住房建设项目计划、资金计划、资金筹集以及项目建设管理的事务性工作。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负责市中心城区（包括岳阳楼区、岳阳经济技术开发区、南湖新区、城陵矶新港区，下同）经济适用房上市交易、不完全产权存量公有住房出售和政策性购房补贴、租赁补贴发放的行政辅助工作。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负责房屋租赁登记备案、房屋租赁合同网签、房屋指导价格发布、房屋租赁价格监测的行政辅助工作。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负责市本级和城陵矶新港区老旧小区、棚户区、旧城区改造等城市人居环境更新的事务性工作。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负责全市物业服务、房屋租赁服务质量考评体系和物业、中介服务企业信用信息评价等诚信体系建设的行政辅助工作。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负责住房保障、物业管理、白蚁防治领域行政检查和违法案件线索移送的行政辅助工作。</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负责市中心城区物业专项维修基金的归集、管理、使用监督以及物业管理招投标合同备案的行政辅助工作。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二是面向社会提供公益服务职能</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负责市本级和城陵矶新港区公共租赁住房、保障性租赁住房、共有产权房等保障性住房运营管理和维修改造的事务性工作。</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负责市本级政府投资建设的各类保障性住房和市政府移交授权管理的存量公房资产运营管理的事务性工作。</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负责住房保障、房屋租赁、城市人居环境更新、城市提质改造、物业维修资金等信息平台建设、数据统计分析、信息发布等事务性工作；负责市本级住房保障档案管理和信息查询事务性工作。</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承担市中心城区房屋白蚁防治、白蚁防治技术推广、白蚁防治科研、发布蚁害监测的事务性工作。</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完成市住房和城乡建设局交办的其它任务。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（二）机构设置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color w:val="000000" w:themeColor="text1"/>
          <w:sz w:val="32"/>
          <w:szCs w:val="32"/>
          <w:u w:val="none"/>
          <w14:textFill>
            <w14:solidFill>
              <w14:schemeClr w14:val="tx1"/>
            </w14:solidFill>
          </w14:textFill>
        </w:rPr>
      </w:pPr>
      <w:r>
        <w:rPr>
          <w:rFonts w:hint="default" w:ascii="Times New Roman" w:hAnsi="Times New Roman" w:eastAsia="仿宋" w:cs="Times New Roman"/>
          <w:color w:val="000000" w:themeColor="text1"/>
          <w:sz w:val="32"/>
          <w:szCs w:val="32"/>
          <w:u w:val="none"/>
          <w14:textFill>
            <w14:solidFill>
              <w14:schemeClr w14:val="tx1"/>
            </w14:solidFill>
          </w14:textFill>
        </w:rPr>
        <w:t>根据中共岳阳市委机构编制委员会文件：关于印发《岳阳市住房保障服务中心职能配置、内设机构和人员编制规定》的通知（岳编办发〔2021〕25号）明确</w:t>
      </w:r>
      <w:r>
        <w:rPr>
          <w:rFonts w:hint="default" w:ascii="Times New Roman" w:hAnsi="Times New Roman" w:eastAsia="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14:textFill>
            <w14:solidFill>
              <w14:schemeClr w14:val="tx1"/>
            </w14:solidFill>
          </w14:textFill>
        </w:rPr>
        <w:t>我中心全额事业编制7</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u w:val="none"/>
          <w14:textFill>
            <w14:solidFill>
              <w14:schemeClr w14:val="tx1"/>
            </w14:solidFill>
          </w14:textFill>
        </w:rPr>
        <w:t>人，</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实有73人，</w:t>
      </w:r>
      <w:r>
        <w:rPr>
          <w:rFonts w:hint="default" w:ascii="Times New Roman" w:hAnsi="Times New Roman" w:eastAsia="仿宋" w:cs="Times New Roman"/>
          <w:color w:val="000000" w:themeColor="text1"/>
          <w:sz w:val="32"/>
          <w:szCs w:val="32"/>
          <w:u w:val="none"/>
          <w14:textFill>
            <w14:solidFill>
              <w14:schemeClr w14:val="tx1"/>
            </w14:solidFill>
          </w14:textFill>
        </w:rPr>
        <w:t>退休人员1</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7</w:t>
      </w:r>
      <w:r>
        <w:rPr>
          <w:rFonts w:hint="default" w:ascii="Times New Roman" w:hAnsi="Times New Roman" w:eastAsia="仿宋" w:cs="Times New Roman"/>
          <w:color w:val="000000" w:themeColor="text1"/>
          <w:sz w:val="32"/>
          <w:szCs w:val="32"/>
          <w:u w:val="none"/>
          <w14:textFill>
            <w14:solidFill>
              <w14:schemeClr w14:val="tx1"/>
            </w14:solidFill>
          </w14:textFill>
        </w:rPr>
        <w:t>人。</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w:t>
      </w:r>
      <w:r>
        <w:rPr>
          <w:rFonts w:hint="default" w:ascii="Times New Roman" w:hAnsi="Times New Roman" w:eastAsia="仿宋" w:cs="Times New Roman"/>
          <w:color w:val="000000" w:themeColor="text1"/>
          <w:sz w:val="32"/>
          <w:szCs w:val="32"/>
          <w:u w:val="none"/>
          <w14:textFill>
            <w14:solidFill>
              <w14:schemeClr w14:val="tx1"/>
            </w14:solidFill>
          </w14:textFill>
        </w:rPr>
        <w:t>设</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个内设机构和3</w:t>
      </w:r>
      <w:r>
        <w:rPr>
          <w:rFonts w:hint="default" w:ascii="Times New Roman" w:hAnsi="Times New Roman" w:eastAsia="仿宋" w:cs="Times New Roman"/>
          <w:color w:val="000000" w:themeColor="text1"/>
          <w:sz w:val="32"/>
          <w:szCs w:val="32"/>
          <w:u w:val="none"/>
          <w14:textFill>
            <w14:solidFill>
              <w14:schemeClr w14:val="tx1"/>
            </w14:solidFill>
          </w14:textFill>
        </w:rPr>
        <w:t>个</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分支机构</w:t>
      </w:r>
      <w:r>
        <w:rPr>
          <w:rFonts w:hint="default" w:ascii="Times New Roman" w:hAnsi="Times New Roman" w:eastAsia="仿宋" w:cs="Times New Roman"/>
          <w:color w:val="000000" w:themeColor="text1"/>
          <w:sz w:val="32"/>
          <w:szCs w:val="32"/>
          <w:u w:val="none"/>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14:textFill>
            <w14:solidFill>
              <w14:schemeClr w14:val="tx1"/>
            </w14:solidFill>
          </w14:textFill>
        </w:rPr>
        <w:t>内设</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机构</w:t>
      </w:r>
      <w:r>
        <w:rPr>
          <w:rFonts w:hint="default" w:ascii="Times New Roman" w:hAnsi="Times New Roman" w:eastAsia="仿宋" w:cs="Times New Roman"/>
          <w:color w:val="000000" w:themeColor="text1"/>
          <w:sz w:val="32"/>
          <w:szCs w:val="32"/>
          <w:u w:val="none"/>
          <w14:textFill>
            <w14:solidFill>
              <w14:schemeClr w14:val="tx1"/>
            </w14:solidFill>
          </w14:textFill>
        </w:rPr>
        <w:t>分别是</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综合部</w:t>
      </w:r>
      <w:r>
        <w:rPr>
          <w:rFonts w:hint="default" w:ascii="Times New Roman" w:hAnsi="Times New Roman" w:eastAsia="仿宋" w:cs="Times New Roman"/>
          <w:color w:val="000000" w:themeColor="text1"/>
          <w:sz w:val="32"/>
          <w:szCs w:val="32"/>
          <w:u w:val="none"/>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房屋</w:t>
      </w:r>
      <w:bookmarkStart w:id="0" w:name="_GoBack"/>
      <w:bookmarkEnd w:id="0"/>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租赁服务部、财务部、信息档案服务部、白蚁防治服务部、工程建设服务部</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、党办、离退休人员服务部</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14:textFill>
            <w14:solidFill>
              <w14:schemeClr w14:val="tx1"/>
            </w14:solidFill>
          </w14:textFill>
        </w:rPr>
        <w:t>所属</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3个分支机构</w:t>
      </w:r>
      <w:r>
        <w:rPr>
          <w:rFonts w:hint="default" w:ascii="Times New Roman" w:hAnsi="Times New Roman" w:eastAsia="仿宋" w:cs="Times New Roman"/>
          <w:color w:val="000000" w:themeColor="text1"/>
          <w:sz w:val="32"/>
          <w:szCs w:val="32"/>
          <w:u w:val="none"/>
          <w14:textFill>
            <w14:solidFill>
              <w14:schemeClr w14:val="tx1"/>
            </w14:solidFill>
          </w14:textFill>
        </w:rPr>
        <w:t>分别是</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市城市人居环境更新管理所、市物业和维修资金管理所和市保障性住房管理所。</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二、一般公共预算支出情况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（一）基本支出情况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2023年度中心基本支出为1323.41万元，其中人员支出1185.2万元，占基本支出89.56%；公用支出138.21万元，占基本支出10.44%。具体支出项目为：</w:t>
      </w:r>
      <w:r>
        <w:rPr>
          <w:rFonts w:hint="eastAsia"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t>工资福利支出1128.83万元；2、商品和服务支出138.21万元；3、对个人和家庭的补助56.37万元。</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2023年度</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三公</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经费总支出情况为：本年度公务接待费0万元，未超出年初预算；公务用车运行维护费支出4.13万元，未超出年初预算6万元。</w:t>
      </w:r>
    </w:p>
    <w:p>
      <w:pPr>
        <w:pStyle w:val="11"/>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000000" w:themeColor="text1"/>
          <w:sz w:val="32"/>
          <w:szCs w:val="32"/>
          <w:highlight w:val="none"/>
          <w14:textFill>
            <w14:solidFill>
              <w14:schemeClr w14:val="tx1"/>
            </w14:solidFill>
          </w14:textFill>
        </w:rPr>
      </w:pPr>
      <w:r>
        <w:rPr>
          <w:rFonts w:hint="default" w:ascii="Times New Roman" w:hAnsi="Times New Roman" w:eastAsia="仿宋" w:cs="Times New Roman"/>
          <w:b/>
          <w:color w:val="000000" w:themeColor="text1"/>
          <w:sz w:val="32"/>
          <w:szCs w:val="32"/>
          <w:highlight w:val="none"/>
          <w14:textFill>
            <w14:solidFill>
              <w14:schemeClr w14:val="tx1"/>
            </w14:solidFill>
          </w14:textFill>
        </w:rPr>
        <w:t>项目支出情况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2023年度项目总体支出1874</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.05</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万元。其中业务工作经费</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146.86</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万元，运行维护经费116.29万元，老旧小区配套改造32.81万元，市级保障房专项资金1500万元</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，工作经费及其他资金为78.09万元</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p>
    <w:p>
      <w:pPr>
        <w:pStyle w:val="11"/>
        <w:keepNext w:val="0"/>
        <w:keepLines w:val="0"/>
        <w:pageBreakBefore w:val="0"/>
        <w:widowControl/>
        <w:numPr>
          <w:ilvl w:val="0"/>
          <w:numId w:val="5"/>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专项资金具体落实、投入情况分析。</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项目资金支出是为完成特定工作任务或事业发展目标而安排落实的资金。2023年财政资金拨入1874</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.05</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万元，主要用于保障房建设、老旧小区改造以及运行维护经费，其中市财政配套资金1500万元用于已有保障房项目的建设；市级财政安排我中心业务工作经费支出</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146.86</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万元，运行维护经费116.29万元，老旧小区配套改造经费32.81万元</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，工作经费及其他资金为78.09万元</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p>
    <w:p>
      <w:pPr>
        <w:pStyle w:val="11"/>
        <w:keepNext w:val="0"/>
        <w:keepLines w:val="0"/>
        <w:pageBreakBefore w:val="0"/>
        <w:widowControl/>
        <w:numPr>
          <w:ilvl w:val="0"/>
          <w:numId w:val="5"/>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专项资金实际使用情况分析。</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专项资金支出1500万元，主要用于东井岭公租房、春兰家园保障房建设支出以及太子庙逸馨花园收购款的支付；专项资金支出</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146.86</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万元主要用于2023年中心开展白蚁防治、乡村振兴等支出；专项资金支出116.29万元主要用于现有保障性住房维护和管理等；专项资金支出32.81万元主要用于佘家垅老旧小区改造工程</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；其他资金支出78.09万元</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p>
    <w:p>
      <w:pPr>
        <w:pStyle w:val="11"/>
        <w:keepNext w:val="0"/>
        <w:keepLines w:val="0"/>
        <w:pageBreakBefore w:val="0"/>
        <w:widowControl/>
        <w:numPr>
          <w:ilvl w:val="0"/>
          <w:numId w:val="5"/>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专项资金具体管理情况分析。</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对于专项资金的管理本着专款专用原则，严格执行项目资金批准的使用计划和项目批复内容，不擅自调项、扩项、缩项、不拆借、挪用、挤占。对每笔专项资金的支付，严格执行财务制度，落实专项资金审核程序，做好专项资金管理工作。</w:t>
      </w:r>
    </w:p>
    <w:p>
      <w:pPr>
        <w:pStyle w:val="11"/>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三、政府性基金预算支出情况</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本</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中心无政府性基金预算支出情况</w:t>
      </w:r>
    </w:p>
    <w:p>
      <w:pPr>
        <w:pStyle w:val="11"/>
        <w:keepNext w:val="0"/>
        <w:keepLines w:val="0"/>
        <w:pageBreakBefore w:val="0"/>
        <w:widowControl/>
        <w:numPr>
          <w:ilvl w:val="0"/>
          <w:numId w:val="6"/>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国有资本经营预算支出情况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本</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中心无国有资本经营预算支出情况</w:t>
      </w:r>
    </w:p>
    <w:p>
      <w:pPr>
        <w:pStyle w:val="11"/>
        <w:keepNext w:val="0"/>
        <w:keepLines w:val="0"/>
        <w:pageBreakBefore w:val="0"/>
        <w:widowControl/>
        <w:numPr>
          <w:ilvl w:val="0"/>
          <w:numId w:val="6"/>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社会保险基金预算支出情况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600" w:lineRule="exact"/>
        <w:ind w:left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本中心无社会保险基金预算支出情况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六、部门整体支出绩效情况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积极履职，强化管理，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圆满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完成了年度工作目标。通过加强预算收支管理，规范资金管理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项目管理，政策执行有力，有效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地</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发挥了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财政</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资金的使用效率。根据部门整体支出绩效评价指标体系，我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年度评价得分为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97.94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分</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绩效自评情况为优</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both"/>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
          <w14:textFill>
            <w14:solidFill>
              <w14:schemeClr w14:val="tx1"/>
            </w14:solidFill>
          </w14:textFill>
        </w:rPr>
        <w:t>（一）</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2023年度重点工作计划</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1.加快发展保障性租赁住房，持续推进公租房建设，出台《岳阳市保障性租赁住房发展指导意见》《岳阳市公共租赁住房管理办法》，指导和督促市中心城区开工建设一批保障性租赁住房，争取中央和省级专项补贴资金。扎实做好公租房运营管理，完成租金收缴1</w:t>
      </w:r>
      <w:r>
        <w:rPr>
          <w:rFonts w:hint="default" w:ascii="Times New Roman" w:hAnsi="Times New Roman" w:cs="Times New Roman"/>
          <w:color w:val="000000" w:themeColor="text1"/>
          <w:sz w:val="32"/>
          <w:szCs w:val="32"/>
          <w:lang w:val="en-US" w:eastAsia="zh-CN"/>
          <w14:textFill>
            <w14:solidFill>
              <w14:schemeClr w14:val="tx1"/>
            </w14:solidFill>
          </w14:textFill>
        </w:rPr>
        <w:t>30</w:t>
      </w:r>
      <w:r>
        <w:rPr>
          <w:rFonts w:hint="default" w:ascii="Times New Roman" w:hAnsi="Times New Roman" w:cs="Times New Roman"/>
          <w:color w:val="000000" w:themeColor="text1"/>
          <w:sz w:val="32"/>
          <w:szCs w:val="32"/>
          <w14:textFill>
            <w14:solidFill>
              <w14:schemeClr w14:val="tx1"/>
            </w14:solidFill>
          </w14:textFill>
        </w:rPr>
        <w:t>万元。</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2.全力抓好物业维修资金归集。完成物业维修资金归集1亿元，实现增值收益900万元。</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3.切实规范物业管理服务活动。指导、督促属地政府（管委会）做好物业管理服务活动，建立市、区联动工作机制。启动《岳阳市物业管理条例》立法编制工作。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4.加大白蚁防治和新技术推广力度工作。组织开展白蚁防治科研活动，完成中心城区白蚁防治相关工作。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5.协助局机关做好住房租赁相关工作，扎实</w:t>
      </w:r>
      <w:r>
        <w:rPr>
          <w:rFonts w:hint="default" w:ascii="Times New Roman" w:hAnsi="Times New Roman" w:cs="Times New Roman"/>
          <w:color w:val="000000" w:themeColor="text1"/>
          <w:sz w:val="32"/>
          <w:szCs w:val="32"/>
          <w:lang w:val="en-US" w:eastAsia="zh-CN"/>
          <w14:textFill>
            <w14:solidFill>
              <w14:schemeClr w14:val="tx1"/>
            </w14:solidFill>
          </w14:textFill>
        </w:rPr>
        <w:t>做好市场租赁</w:t>
      </w:r>
      <w:r>
        <w:rPr>
          <w:rFonts w:hint="default" w:ascii="Times New Roman" w:hAnsi="Times New Roman" w:cs="Times New Roman"/>
          <w:color w:val="000000" w:themeColor="text1"/>
          <w:sz w:val="32"/>
          <w:szCs w:val="32"/>
          <w14:textFill>
            <w14:solidFill>
              <w14:schemeClr w14:val="tx1"/>
            </w14:solidFill>
          </w14:textFill>
        </w:rPr>
        <w:t>调查研究，启动房屋租赁平台搭建及相关配套措施文件拟制等相关工作。</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6.强力推进老旧小区改造、既有住宅加装电梯，以及棚户区改造收尾等工作，争取中央专项补贴资金，力争获得全省先进。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2023年度总体目标已圆满完成。</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单位总支出情况的绩效分析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2023年度中心年度资金预算数为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3216.47</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万元，全年执行数为3197.46万元，执行率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99.41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%，绩效自评情况优。</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年度绩效目标完成情况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1、业务产出方面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本中心</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财政资金其主要用途是管理维护好城区公租房建设、管理的任务，保障城区中低收入家庭住房以及中心城区白蚁防治、灭治，物业维修基金归集、管理和保值增值以及城市更新提质改造。2023年度中心根据部门年度目标，按时足额收取租金130万元，超额完成物业维修资金归集1亿元的目标，实现了1.63亿元的资金归集，同时实现了维修资金增值收益900万元的年度目标。</w:t>
      </w:r>
    </w:p>
    <w:p>
      <w:pPr>
        <w:pStyle w:val="2"/>
        <w:keepNext w:val="0"/>
        <w:keepLines w:val="0"/>
        <w:pageBreakBefore w:val="0"/>
        <w:numPr>
          <w:ilvl w:val="0"/>
          <w:numId w:val="7"/>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成本控制方面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中心在人员支出、公用支出方面严格按照年初绩效预设认真组织实施, 严格执行财经纪律和相关管理规定，做到各项收支安排使用符合财政政策的要求；在专项经费使用上，</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做好</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保障房</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管理维护业务工作</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的同时，严格落实厉行节约的原则，控制成本，多干实事，不超预算。实行了先有预算，后有执行，用钱必问效，无效必问责的机制</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取得了明显的经济效益和社会效益。</w:t>
      </w:r>
    </w:p>
    <w:p>
      <w:pPr>
        <w:pStyle w:val="2"/>
        <w:keepNext w:val="0"/>
        <w:keepLines w:val="0"/>
        <w:pageBreakBefore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社会效益方面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根据中心职能，规范496户保障房的管理，在社会效益方面，能较好的解决中低收入家庭的住房困难，同时建立</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的</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准入退出机制，能更好地保障低收入家庭</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解决住房问题</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，从而提升人民的居住满意度。</w:t>
      </w:r>
    </w:p>
    <w:p>
      <w:pPr>
        <w:pStyle w:val="11"/>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七、存在的问题及原因分析</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1、部分干部职工</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的工作积极性有待提高</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2、绩效</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评价指标需要进一步</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细化</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完善。</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由于中心</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财政支出</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绩效</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评价</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涉及的部门和相关业务类型不同</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使得绩效评价</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指标</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细化程度不够</w:t>
      </w:r>
      <w:r>
        <w:rPr>
          <w:rFonts w:hint="default"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w:t>
      </w:r>
      <w:r>
        <w:rPr>
          <w:rFonts w:hint="eastAsia" w:ascii="Times New Roman" w:hAnsi="Times New Roman" w:eastAsia="仿宋" w:cs="Times New Roman"/>
          <w:color w:val="000000" w:themeColor="text1"/>
          <w:kern w:val="0"/>
          <w:sz w:val="32"/>
          <w:szCs w:val="32"/>
          <w:u w:val="none"/>
          <w:lang w:val="en-US" w:eastAsia="zh-CN" w:bidi="ar-SA"/>
          <w14:textFill>
            <w14:solidFill>
              <w14:schemeClr w14:val="tx1"/>
            </w14:solidFill>
          </w14:textFill>
        </w:rPr>
        <w:t>对绩效自评的准确性有一定影响。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八、下一步改进措施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1、抓好保障房的管理、维护主业，提升管理标准和水平，向规范化、信息化迈进。</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2、充分发挥党建工作的重要作用，从思想政治工作上引领人、提高人、活跃人、激励人、增强干部职工对单位的归属感和认同感，充分调动干部职工的</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工作</w:t>
      </w: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积极性。</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000000" w:themeColor="text1"/>
          <w:sz w:val="32"/>
          <w:szCs w:val="32"/>
          <w:lang w:val="en-US"/>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3、</w:t>
      </w:r>
      <w:r>
        <w:rPr>
          <w:rFonts w:hint="eastAsia" w:ascii="Times New Roman" w:hAnsi="Times New Roman" w:eastAsia="仿宋" w:cs="Times New Roman"/>
          <w:color w:val="000000" w:themeColor="text1"/>
          <w:sz w:val="32"/>
          <w:szCs w:val="32"/>
          <w:u w:val="none"/>
          <w:lang w:val="en-US" w:eastAsia="zh-CN"/>
          <w14:textFill>
            <w14:solidFill>
              <w14:schemeClr w14:val="tx1"/>
            </w14:solidFill>
          </w14:textFill>
        </w:rPr>
        <w:t>为保障绩效管理工作持续高效开展，需要加强对各部门相关人员的培训学习，提高相关工作人员对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预算绩效管理业务</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的熟练程度</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力求对绩效评价</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工作重点把握到位。</w:t>
      </w:r>
    </w:p>
    <w:p>
      <w:pPr>
        <w:keepNext w:val="0"/>
        <w:keepLines w:val="0"/>
        <w:pageBreakBefore w:val="0"/>
        <w:widowControl/>
        <w:numPr>
          <w:ilvl w:val="0"/>
          <w:numId w:val="8"/>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部门整体支出绩效自评结果拟应用和公开情况</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t>我中心整体支出绩效自评将在上级主管部门和本中心网站上同步公开。</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其他需要说明的情况</w:t>
      </w:r>
    </w:p>
    <w:p>
      <w:pPr>
        <w:pStyle w:val="3"/>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1：</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2023年度部门整体支出绩效评价基础数据表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2：</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2023年度部门整体支出绩效自评表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3：</w:t>
      </w: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2023年度项目支出绩效自评表</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bidi="ar-SA"/>
          <w14:textFill>
            <w14:solidFill>
              <w14:schemeClr w14:val="tx1"/>
            </w14:solidFill>
          </w14:textFill>
        </w:rPr>
        <w:t>岳阳市住房保障服务中心</w:t>
      </w:r>
    </w:p>
    <w:p>
      <w:pPr>
        <w:spacing w:after="120" w:afterLines="50" w:line="600" w:lineRule="exact"/>
        <w:jc w:val="right"/>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Times New Roman" w:hAnsi="Times New Roman" w:eastAsia="仿宋" w:cs="Times New Roman"/>
          <w:color w:val="000000" w:themeColor="text1"/>
          <w:kern w:val="0"/>
          <w:sz w:val="32"/>
          <w:szCs w:val="32"/>
          <w:lang w:val="en-US" w:eastAsia="zh-CN" w:bidi="ar-SA"/>
          <w14:textFill>
            <w14:solidFill>
              <w14:schemeClr w14:val="tx1"/>
            </w14:solidFill>
          </w14:textFill>
        </w:rPr>
        <w:t>2024年6月25日</w:t>
      </w:r>
    </w:p>
    <w:p>
      <w:pPr>
        <w:spacing w:after="120" w:afterLines="50" w:line="600" w:lineRule="exact"/>
        <w:jc w:val="both"/>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1</w:t>
      </w:r>
    </w:p>
    <w:p>
      <w:pPr>
        <w:spacing w:after="120" w:afterLines="50" w:line="600" w:lineRule="exact"/>
        <w:jc w:val="center"/>
        <w:rPr>
          <w:rFonts w:hint="default" w:ascii="Times New Roman" w:hAnsi="Times New Roman" w:eastAsia="方正小标宋简体" w:cs="Times New Roman"/>
          <w:color w:val="000000" w:themeColor="text1"/>
          <w:sz w:val="24"/>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default"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3</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年度部门整体支出绩效评价基础数据表</w:t>
      </w:r>
    </w:p>
    <w:tbl>
      <w:tblPr>
        <w:tblStyle w:val="8"/>
        <w:tblW w:w="9037" w:type="dxa"/>
        <w:jc w:val="center"/>
        <w:tblLayout w:type="fixed"/>
        <w:tblCellMar>
          <w:top w:w="0" w:type="dxa"/>
          <w:left w:w="108" w:type="dxa"/>
          <w:bottom w:w="0" w:type="dxa"/>
          <w:right w:w="108" w:type="dxa"/>
        </w:tblCellMar>
      </w:tblPr>
      <w:tblGrid>
        <w:gridCol w:w="3134"/>
        <w:gridCol w:w="1110"/>
        <w:gridCol w:w="794"/>
        <w:gridCol w:w="1054"/>
        <w:gridCol w:w="1039"/>
        <w:gridCol w:w="1009"/>
        <w:gridCol w:w="897"/>
      </w:tblGrid>
      <w:tr>
        <w:tblPrEx>
          <w:tblCellMar>
            <w:top w:w="0" w:type="dxa"/>
            <w:left w:w="108" w:type="dxa"/>
            <w:bottom w:w="0" w:type="dxa"/>
            <w:right w:w="108" w:type="dxa"/>
          </w:tblCellMar>
        </w:tblPrEx>
        <w:trPr>
          <w:trHeight w:val="367" w:hRule="atLeast"/>
          <w:jc w:val="center"/>
        </w:trPr>
        <w:tc>
          <w:tcPr>
            <w:tcW w:w="3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财政供养人员情况（人）</w:t>
            </w:r>
          </w:p>
        </w:tc>
        <w:tc>
          <w:tcPr>
            <w:tcW w:w="1904"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编制数</w:t>
            </w: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b/>
                <w:bCs/>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年实际在职人数</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控制率</w:t>
            </w:r>
          </w:p>
        </w:tc>
      </w:tr>
      <w:tr>
        <w:tblPrEx>
          <w:tblCellMar>
            <w:top w:w="0" w:type="dxa"/>
            <w:left w:w="108" w:type="dxa"/>
            <w:bottom w:w="0" w:type="dxa"/>
            <w:right w:w="108" w:type="dxa"/>
          </w:tblCellMar>
        </w:tblPrEx>
        <w:trPr>
          <w:trHeight w:val="367" w:hRule="atLeast"/>
          <w:jc w:val="center"/>
        </w:trPr>
        <w:tc>
          <w:tcPr>
            <w:tcW w:w="31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904"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75</w:t>
            </w:r>
          </w:p>
        </w:tc>
        <w:tc>
          <w:tcPr>
            <w:tcW w:w="2093"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73</w:t>
            </w:r>
          </w:p>
        </w:tc>
        <w:tc>
          <w:tcPr>
            <w:tcW w:w="1906"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97.3%</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经费控制情况（万元）</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b/>
                <w:bCs/>
                <w:color w:val="000000" w:themeColor="text1"/>
                <w:sz w:val="20"/>
                <w:szCs w:val="20"/>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年决算数</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b/>
                <w:bCs/>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年预算数</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b/>
                <w:bCs/>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20"/>
                <w:szCs w:val="20"/>
                <w:highlight w:val="none"/>
                <w14:textFill>
                  <w14:solidFill>
                    <w14:schemeClr w14:val="tx1"/>
                  </w14:solidFill>
                </w14:textFill>
              </w:rPr>
              <w:t>年决算数</w:t>
            </w:r>
          </w:p>
        </w:tc>
      </w:tr>
      <w:tr>
        <w:tblPrEx>
          <w:tblCellMar>
            <w:top w:w="0" w:type="dxa"/>
            <w:left w:w="108" w:type="dxa"/>
            <w:bottom w:w="0" w:type="dxa"/>
            <w:right w:w="108" w:type="dxa"/>
          </w:tblCellMar>
        </w:tblPrEx>
        <w:trPr>
          <w:trHeight w:val="90"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三公经费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6</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6</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4.13</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1、公务用车购置和维护经费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其中：公车购置</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公车运行维护</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6</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6</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4.13</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2、出国经费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3、公务接待</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项目支出：</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5573</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173</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1874</w:t>
            </w:r>
            <w:r>
              <w:rPr>
                <w:rFonts w:hint="eastAsia" w:ascii="Times New Roman" w:hAnsi="Times New Roman" w:eastAsia="仿宋_GB2312" w:cs="Times New Roman"/>
                <w:color w:val="auto"/>
                <w:sz w:val="20"/>
                <w:szCs w:val="20"/>
                <w:highlight w:val="none"/>
                <w:lang w:val="en-US" w:eastAsia="zh-CN"/>
              </w:rPr>
              <w:t>.05</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1、业务工作经费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283</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146.86</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2、运行维护经费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1515</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26</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116.29</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市级</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专项资金</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 xml:space="preserve">    保障房建设</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资金</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t>3638</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1500</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老旧小区配套改造</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137</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32.81</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工作经费及其他资金</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0</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78.09</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公用经费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252.83</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117.89</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138.21</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其中：办公经费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35.84</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20.25</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49.24</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水费、电费、差旅费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17.36</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20.77</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24.49</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会议费、培训费</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367"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政府采购金额</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t>——</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290.89</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341.98</w:t>
            </w:r>
          </w:p>
        </w:tc>
      </w:tr>
      <w:tr>
        <w:tblPrEx>
          <w:tblCellMar>
            <w:top w:w="0" w:type="dxa"/>
            <w:left w:w="108" w:type="dxa"/>
            <w:bottom w:w="0" w:type="dxa"/>
            <w:right w:w="108" w:type="dxa"/>
          </w:tblCellMar>
        </w:tblPrEx>
        <w:trPr>
          <w:trHeight w:val="90"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部门基本支出预算调整 </w:t>
            </w:r>
          </w:p>
        </w:tc>
        <w:tc>
          <w:tcPr>
            <w:tcW w:w="1904"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t>——</w:t>
            </w:r>
          </w:p>
        </w:tc>
        <w:tc>
          <w:tcPr>
            <w:tcW w:w="2093"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1342.29</w:t>
            </w:r>
          </w:p>
        </w:tc>
        <w:tc>
          <w:tcPr>
            <w:tcW w:w="1906"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sz w:val="20"/>
                <w:szCs w:val="20"/>
                <w:highlight w:val="none"/>
                <w:lang w:val="en-US" w:eastAsia="zh-CN"/>
              </w:rPr>
            </w:pPr>
            <w:r>
              <w:rPr>
                <w:rFonts w:hint="eastAsia" w:ascii="Times New Roman" w:hAnsi="Times New Roman" w:eastAsia="仿宋_GB2312" w:cs="Times New Roman"/>
                <w:color w:val="auto"/>
                <w:sz w:val="20"/>
                <w:szCs w:val="20"/>
                <w:highlight w:val="none"/>
                <w:lang w:val="en-US" w:eastAsia="zh-CN"/>
              </w:rPr>
              <w:t>1323.41</w:t>
            </w:r>
          </w:p>
        </w:tc>
      </w:tr>
      <w:tr>
        <w:tblPrEx>
          <w:tblCellMar>
            <w:top w:w="0" w:type="dxa"/>
            <w:left w:w="108" w:type="dxa"/>
            <w:bottom w:w="0" w:type="dxa"/>
            <w:right w:w="108" w:type="dxa"/>
          </w:tblCellMar>
        </w:tblPrEx>
        <w:trPr>
          <w:trHeight w:val="1079" w:hRule="atLeast"/>
          <w:jc w:val="center"/>
        </w:trPr>
        <w:tc>
          <w:tcPr>
            <w:tcW w:w="313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楼堂馆所控制情况</w:t>
            </w:r>
          </w:p>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年完工项目）</w:t>
            </w:r>
          </w:p>
        </w:tc>
        <w:tc>
          <w:tcPr>
            <w:tcW w:w="111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Times New Roman" w:hAnsi="Times New Roman" w:eastAsia="仿宋_GB2312" w:cs="Times New Roman"/>
                <w:bCs/>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批复规模</w:t>
            </w:r>
          </w:p>
          <w:p>
            <w:pPr>
              <w:widowControl/>
              <w:spacing w:line="360" w:lineRule="exact"/>
              <w:jc w:val="center"/>
              <w:rPr>
                <w:rFonts w:hint="default" w:ascii="Times New Roman" w:hAnsi="Times New Roman" w:eastAsia="仿宋_GB2312" w:cs="Times New Roman"/>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w:t>
            </w:r>
          </w:p>
        </w:tc>
        <w:tc>
          <w:tcPr>
            <w:tcW w:w="794"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实际规模（㎡）</w:t>
            </w:r>
          </w:p>
        </w:tc>
        <w:tc>
          <w:tcPr>
            <w:tcW w:w="1054"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规模控制率</w:t>
            </w:r>
          </w:p>
        </w:tc>
        <w:tc>
          <w:tcPr>
            <w:tcW w:w="103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预算投资（万元）</w:t>
            </w:r>
          </w:p>
        </w:tc>
        <w:tc>
          <w:tcPr>
            <w:tcW w:w="1009"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实际投资（万元）</w:t>
            </w:r>
          </w:p>
        </w:tc>
        <w:tc>
          <w:tcPr>
            <w:tcW w:w="897"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bCs/>
                <w:color w:val="000000" w:themeColor="text1"/>
                <w:sz w:val="20"/>
                <w:szCs w:val="20"/>
                <w:highlight w:val="none"/>
                <w14:textFill>
                  <w14:solidFill>
                    <w14:schemeClr w14:val="tx1"/>
                  </w14:solidFill>
                </w14:textFill>
              </w:rPr>
            </w:pPr>
            <w:r>
              <w:rPr>
                <w:rFonts w:hint="default" w:ascii="Times New Roman" w:hAnsi="Times New Roman" w:eastAsia="仿宋_GB2312" w:cs="Times New Roman"/>
                <w:bCs/>
                <w:color w:val="000000" w:themeColor="text1"/>
                <w:sz w:val="20"/>
                <w:szCs w:val="20"/>
                <w:highlight w:val="none"/>
                <w14:textFill>
                  <w14:solidFill>
                    <w14:schemeClr w14:val="tx1"/>
                  </w14:solidFill>
                </w14:textFill>
              </w:rPr>
              <w:t>投资概算控制率</w:t>
            </w:r>
          </w:p>
        </w:tc>
      </w:tr>
      <w:tr>
        <w:tblPrEx>
          <w:tblCellMar>
            <w:top w:w="0" w:type="dxa"/>
            <w:left w:w="108" w:type="dxa"/>
            <w:bottom w:w="0" w:type="dxa"/>
            <w:right w:w="108" w:type="dxa"/>
          </w:tblCellMar>
        </w:tblPrEx>
        <w:trPr>
          <w:trHeight w:val="367" w:hRule="atLeast"/>
          <w:jc w:val="center"/>
        </w:trPr>
        <w:tc>
          <w:tcPr>
            <w:tcW w:w="313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11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94"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54"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3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09"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897"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CellMar>
            <w:top w:w="0" w:type="dxa"/>
            <w:left w:w="108" w:type="dxa"/>
            <w:bottom w:w="0" w:type="dxa"/>
            <w:right w:w="108" w:type="dxa"/>
          </w:tblCellMar>
        </w:tblPrEx>
        <w:trPr>
          <w:trHeight w:val="395" w:hRule="atLeast"/>
          <w:jc w:val="center"/>
        </w:trPr>
        <w:tc>
          <w:tcPr>
            <w:tcW w:w="313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厉行节约保障措施</w:t>
            </w:r>
          </w:p>
        </w:tc>
        <w:tc>
          <w:tcPr>
            <w:tcW w:w="5903"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bl>
    <w:p>
      <w:pPr>
        <w:widowControl/>
        <w:spacing w:afterLines="0" w:line="400" w:lineRule="exact"/>
        <w:jc w:val="left"/>
        <w:rPr>
          <w:rFonts w:hint="default" w:ascii="Times New Roman" w:hAnsi="Times New Roman" w:eastAsia="仿宋_GB2312" w:cs="Times New Roman"/>
          <w:color w:val="000000" w:themeColor="text1"/>
          <w:sz w:val="22"/>
          <w:highlight w:val="none"/>
          <w14:textFill>
            <w14:solidFill>
              <w14:schemeClr w14:val="tx1"/>
            </w14:solidFill>
          </w14:textFill>
        </w:rPr>
      </w:pPr>
      <w:r>
        <w:rPr>
          <w:rFonts w:hint="default" w:ascii="Times New Roman" w:hAnsi="Times New Roman" w:eastAsia="仿宋_GB2312" w:cs="Times New Roman"/>
          <w:color w:val="000000" w:themeColor="text1"/>
          <w:sz w:val="22"/>
          <w:highlight w:val="none"/>
          <w14:textFill>
            <w14:solidFill>
              <w14:schemeClr w14:val="tx1"/>
            </w14:solidFill>
          </w14:textFill>
        </w:rPr>
        <w:t>说明：“项目支出”需要填报基本支出以外的所有项目支出情况，“公用经费”填报基本支出中的一般商品和服务支出。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仿宋_GB2312" w:cs="Times New Roman"/>
          <w:color w:val="000000" w:themeColor="text1"/>
          <w:sz w:val="22"/>
          <w:highlight w:val="none"/>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000000" w:themeColor="text1"/>
          <w:sz w:val="22"/>
          <w:highlight w:val="none"/>
          <w14:textFill>
            <w14:solidFill>
              <w14:schemeClr w14:val="tx1"/>
            </w14:solidFill>
          </w14:textFill>
        </w:rPr>
        <w:t>填表人：</w:t>
      </w:r>
      <w:r>
        <w:rPr>
          <w:rFonts w:hint="eastAsia" w:ascii="Times New Roman" w:hAnsi="Times New Roman" w:eastAsia="仿宋_GB2312" w:cs="Times New Roman"/>
          <w:color w:val="000000" w:themeColor="text1"/>
          <w:sz w:val="22"/>
          <w:highlight w:val="none"/>
          <w:lang w:val="en-US" w:eastAsia="zh-CN"/>
          <w14:textFill>
            <w14:solidFill>
              <w14:schemeClr w14:val="tx1"/>
            </w14:solidFill>
          </w14:textFill>
        </w:rPr>
        <w:t>刘庆芳</w:t>
      </w:r>
      <w:r>
        <w:rPr>
          <w:rFonts w:hint="default" w:ascii="Times New Roman" w:hAnsi="Times New Roman" w:eastAsia="仿宋_GB2312" w:cs="Times New Roman"/>
          <w:color w:val="000000" w:themeColor="text1"/>
          <w:sz w:val="22"/>
          <w:highlight w:val="none"/>
          <w14:textFill>
            <w14:solidFill>
              <w14:schemeClr w14:val="tx1"/>
            </w14:solidFill>
          </w14:textFill>
        </w:rPr>
        <w:t xml:space="preserve"> 填报日期：</w:t>
      </w:r>
      <w:r>
        <w:rPr>
          <w:rFonts w:hint="eastAsia" w:ascii="Times New Roman" w:hAnsi="Times New Roman" w:eastAsia="仿宋_GB2312" w:cs="Times New Roman"/>
          <w:color w:val="000000" w:themeColor="text1"/>
          <w:sz w:val="22"/>
          <w:highlight w:val="none"/>
          <w:lang w:val="en-US" w:eastAsia="zh-CN"/>
          <w14:textFill>
            <w14:solidFill>
              <w14:schemeClr w14:val="tx1"/>
            </w14:solidFill>
          </w14:textFill>
        </w:rPr>
        <w:t>2024.6.5</w:t>
      </w:r>
      <w:r>
        <w:rPr>
          <w:rFonts w:hint="default" w:ascii="Times New Roman" w:hAnsi="Times New Roman" w:eastAsia="仿宋_GB2312" w:cs="Times New Roman"/>
          <w:color w:val="000000" w:themeColor="text1"/>
          <w:sz w:val="22"/>
          <w:highlight w:val="none"/>
          <w14:textFill>
            <w14:solidFill>
              <w14:schemeClr w14:val="tx1"/>
            </w14:solidFill>
          </w14:textFill>
        </w:rPr>
        <w:t xml:space="preserve"> 联系电话：</w:t>
      </w:r>
      <w:r>
        <w:rPr>
          <w:rFonts w:hint="eastAsia" w:ascii="Times New Roman" w:hAnsi="Times New Roman" w:eastAsia="仿宋_GB2312" w:cs="Times New Roman"/>
          <w:color w:val="000000" w:themeColor="text1"/>
          <w:sz w:val="22"/>
          <w:highlight w:val="none"/>
          <w:lang w:val="en-US" w:eastAsia="zh-CN"/>
          <w14:textFill>
            <w14:solidFill>
              <w14:schemeClr w14:val="tx1"/>
            </w14:solidFill>
          </w14:textFill>
        </w:rPr>
        <w:t>13975071386</w:t>
      </w:r>
      <w:r>
        <w:rPr>
          <w:rFonts w:hint="default" w:ascii="Times New Roman" w:hAnsi="Times New Roman" w:eastAsia="仿宋_GB2312" w:cs="Times New Roman"/>
          <w:color w:val="000000" w:themeColor="text1"/>
          <w:sz w:val="22"/>
          <w:highlight w:val="none"/>
          <w14:textFill>
            <w14:solidFill>
              <w14:schemeClr w14:val="tx1"/>
            </w14:solidFill>
          </w14:textFill>
        </w:rPr>
        <w:t>单位负责人签字：</w:t>
      </w:r>
      <w:r>
        <w:rPr>
          <w:rFonts w:hint="default" w:ascii="Times New Roman" w:hAnsi="Times New Roman" w:eastAsia="仿宋_GB2312" w:cs="Times New Roman"/>
          <w:color w:val="000000" w:themeColor="text1"/>
          <w:sz w:val="22"/>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2</w:t>
      </w:r>
    </w:p>
    <w:p>
      <w:pPr>
        <w:widowControl/>
        <w:spacing w:after="120" w:afterLines="50"/>
        <w:jc w:val="cente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default"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3</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年度部门整体支出绩效自评表</w:t>
      </w:r>
    </w:p>
    <w:tbl>
      <w:tblPr>
        <w:tblStyle w:val="8"/>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058"/>
        <w:gridCol w:w="1056"/>
        <w:gridCol w:w="1368"/>
        <w:gridCol w:w="1596"/>
        <w:gridCol w:w="1500"/>
        <w:gridCol w:w="759"/>
        <w:gridCol w:w="86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市</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级预算部门名称</w:t>
            </w:r>
          </w:p>
        </w:tc>
        <w:tc>
          <w:tcPr>
            <w:tcW w:w="9229" w:type="dxa"/>
            <w:gridSpan w:val="8"/>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岳阳市住房保障服务中心</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年度预</w:t>
            </w:r>
          </w:p>
          <w:p>
            <w:pPr>
              <w:widowControl/>
              <w:spacing w:line="240" w:lineRule="exact"/>
              <w:jc w:val="center"/>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算申请</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（万元）</w:t>
            </w:r>
          </w:p>
        </w:tc>
        <w:tc>
          <w:tcPr>
            <w:tcW w:w="2114" w:type="dxa"/>
            <w:gridSpan w:val="2"/>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年初预算数</w:t>
            </w:r>
          </w:p>
        </w:tc>
        <w:tc>
          <w:tcPr>
            <w:tcW w:w="1596"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全年预算数</w:t>
            </w:r>
          </w:p>
        </w:tc>
        <w:tc>
          <w:tcPr>
            <w:tcW w:w="1500"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全年执行数</w:t>
            </w:r>
          </w:p>
        </w:tc>
        <w:tc>
          <w:tcPr>
            <w:tcW w:w="759"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861"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执行率</w:t>
            </w:r>
          </w:p>
        </w:tc>
        <w:tc>
          <w:tcPr>
            <w:tcW w:w="1031"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14" w:type="dxa"/>
            <w:gridSpan w:val="2"/>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年度资金总额</w:t>
            </w:r>
          </w:p>
        </w:tc>
        <w:tc>
          <w:tcPr>
            <w:tcW w:w="1368"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1380.68</w:t>
            </w:r>
          </w:p>
        </w:tc>
        <w:tc>
          <w:tcPr>
            <w:tcW w:w="1596"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3216.47</w:t>
            </w:r>
          </w:p>
        </w:tc>
        <w:tc>
          <w:tcPr>
            <w:tcW w:w="1500"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3197.46</w:t>
            </w:r>
          </w:p>
        </w:tc>
        <w:tc>
          <w:tcPr>
            <w:tcW w:w="759"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w:t>
            </w:r>
          </w:p>
        </w:tc>
        <w:tc>
          <w:tcPr>
            <w:tcW w:w="861"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99.41</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1031" w:type="dxa"/>
            <w:noWrap w:val="0"/>
            <w:vAlign w:val="center"/>
          </w:tcPr>
          <w:p>
            <w:pPr>
              <w:spacing w:line="240" w:lineRule="exact"/>
              <w:jc w:val="cente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按收入性质分：</w:t>
            </w:r>
          </w:p>
        </w:tc>
        <w:tc>
          <w:tcPr>
            <w:tcW w:w="4151"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xml:space="preserve">  其中：  一般公共预算：</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3126.95</w:t>
            </w:r>
          </w:p>
        </w:tc>
        <w:tc>
          <w:tcPr>
            <w:tcW w:w="4151"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其中：基本支出：</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pPr>
              <w:widowControl/>
              <w:spacing w:line="240" w:lineRule="exact"/>
              <w:ind w:firstLine="800" w:firstLineChars="400"/>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政府性基金拨款：</w:t>
            </w:r>
          </w:p>
        </w:tc>
        <w:tc>
          <w:tcPr>
            <w:tcW w:w="4151" w:type="dxa"/>
            <w:gridSpan w:val="4"/>
            <w:noWrap w:val="0"/>
            <w:vAlign w:val="center"/>
          </w:tcPr>
          <w:p>
            <w:pPr>
              <w:widowControl/>
              <w:spacing w:line="240" w:lineRule="exact"/>
              <w:ind w:firstLine="600" w:firstLineChars="300"/>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项目支出：</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1874.05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纳入专户管理的非税收入拨款：</w:t>
            </w:r>
          </w:p>
        </w:tc>
        <w:tc>
          <w:tcPr>
            <w:tcW w:w="4151"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pPr>
              <w:widowControl/>
              <w:spacing w:line="240" w:lineRule="exact"/>
              <w:ind w:firstLine="1400" w:firstLineChars="700"/>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其他资金：</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89.52</w:t>
            </w:r>
          </w:p>
        </w:tc>
        <w:tc>
          <w:tcPr>
            <w:tcW w:w="4151" w:type="dxa"/>
            <w:gridSpan w:val="4"/>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p>
        </w:tc>
        <w:tc>
          <w:tcPr>
            <w:tcW w:w="5078" w:type="dxa"/>
            <w:gridSpan w:val="4"/>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预期目标</w:t>
            </w:r>
          </w:p>
        </w:tc>
        <w:tc>
          <w:tcPr>
            <w:tcW w:w="4151" w:type="dxa"/>
            <w:gridSpan w:val="4"/>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078"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加快发展保障性租赁住房，持续推进公租房建设，出台《岳阳市保障性租赁住房发展指导意见》《岳阳市公共租赁住房管理办法》，指导和督促市中心城区开工建设一批保障性租赁住房，争取中央和省级专项补贴资金。扎实做好公租房运营管理，完成租金收缴1</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2.全力抓好物业维修资金归集。完成物业维修资金归集1亿元，实现增值收益900万元。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3.切实规范物业管理服务活动。指导、督促属地政府（管委会）做好物业管理服务活动，建立市、区联动工作机制。启动《岳阳市物业管理条例》立法编制工作。</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4.加大白蚁防治和新技术推广力度工作。组织开展白蚁防治科研活动，完成中心城区白蚁防治相关工作。</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5.协助局机关做好住房租赁相关工作，扎实搞好调查研究，启动房屋租赁平台搭建及相关配套措施文件拟制等相关工作。</w:t>
            </w:r>
          </w:p>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6.强力推进老旧小区改造、既有住宅加装电梯，以及棚户区改造收尾等工作，争取中央专项补贴资金，力争获得全省先进。　　　　</w:t>
            </w:r>
          </w:p>
        </w:tc>
        <w:tc>
          <w:tcPr>
            <w:tcW w:w="4151" w:type="dxa"/>
            <w:gridSpan w:val="4"/>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绩</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标</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一级指标</w:t>
            </w:r>
          </w:p>
        </w:tc>
        <w:tc>
          <w:tcPr>
            <w:tcW w:w="1056"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二级指标</w:t>
            </w:r>
          </w:p>
        </w:tc>
        <w:tc>
          <w:tcPr>
            <w:tcW w:w="1368"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三级指标</w:t>
            </w:r>
          </w:p>
        </w:tc>
        <w:tc>
          <w:tcPr>
            <w:tcW w:w="1596"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年度指标值</w:t>
            </w:r>
          </w:p>
        </w:tc>
        <w:tc>
          <w:tcPr>
            <w:tcW w:w="1500"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实际完成值</w:t>
            </w:r>
          </w:p>
        </w:tc>
        <w:tc>
          <w:tcPr>
            <w:tcW w:w="759"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861"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c>
          <w:tcPr>
            <w:tcW w:w="1031" w:type="dxa"/>
            <w:noWrap w:val="0"/>
            <w:vAlign w:val="center"/>
          </w:tcPr>
          <w:p>
            <w:pPr>
              <w:widowControl/>
              <w:spacing w:line="240" w:lineRule="exact"/>
              <w:jc w:val="both"/>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restart"/>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产出指标</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(50分)</w:t>
            </w:r>
          </w:p>
        </w:tc>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数量指标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1.按时足额收取租金</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130万元</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130万元</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2.物业维修资金归集</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1亿元</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1.63亿元</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3.公租房实物配租</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需求大于供应，继续多方多渠道筹集房源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质量指标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1.租金足额收缴完成率</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100%</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100%</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2.出台《岳阳市保障性租赁住房发展指导意见》《岳阳市公共租赁住房管理办法》</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出台</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出台</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启动《岳阳市物业管理条例》立法编制</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启动</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启动</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时效指标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一年</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.1.1-202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12.31</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202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.1.1-202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12.31</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成本指标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控制成本，多干实事</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不超预算</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不超预算</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restart"/>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效益指标</w:t>
            </w:r>
          </w:p>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（30分）</w:t>
            </w:r>
          </w:p>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经济效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益指标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1.收取租金130万元</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130万元</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130万元</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实现维修资金增值收益900万元</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900万元</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5086万元</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社会效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益指标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解决中低收入家族住房困难</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需求大于供应，继续多方多渠道筹集房源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建设和谐宜居城市</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生态效</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益指标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建设水墨丹青岳阳，建设青山绿水宜居小区</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小区配套设施齐全、服务功能完善</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小区配套设施齐全、服务功能完善</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50" w:type="dxa"/>
            <w:vMerge w:val="continue"/>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vMerge w:val="continue"/>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可持续影响指标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建立准入退出机制。保障低收入家族住房</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496户</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5</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0" w:type="dxa"/>
            <w:vMerge w:val="continue"/>
            <w:noWrap w:val="0"/>
            <w:vAlign w:val="center"/>
          </w:tcPr>
          <w:p>
            <w:pPr>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58"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满意度</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w:t>
            </w:r>
          </w:p>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10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服务对象满意度指标</w:t>
            </w:r>
          </w:p>
        </w:tc>
        <w:tc>
          <w:tcPr>
            <w:tcW w:w="136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获租住人们满意</w:t>
            </w:r>
          </w:p>
        </w:tc>
        <w:tc>
          <w:tcPr>
            <w:tcW w:w="159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95%</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95%</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86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8" w:type="dxa"/>
            <w:gridSpan w:val="6"/>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总分</w:t>
            </w:r>
          </w:p>
        </w:tc>
        <w:tc>
          <w:tcPr>
            <w:tcW w:w="759"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100</w:t>
            </w:r>
          </w:p>
        </w:tc>
        <w:tc>
          <w:tcPr>
            <w:tcW w:w="861" w:type="dxa"/>
            <w:noWrap w:val="0"/>
            <w:vAlign w:val="center"/>
          </w:tcPr>
          <w:p>
            <w:pPr>
              <w:widowControl/>
              <w:spacing w:line="240" w:lineRule="exact"/>
              <w:jc w:val="center"/>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9</w:t>
            </w: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7.94</w:t>
            </w:r>
          </w:p>
        </w:tc>
        <w:tc>
          <w:tcPr>
            <w:tcW w:w="1031" w:type="dxa"/>
            <w:noWrap w:val="0"/>
            <w:vAlign w:val="center"/>
          </w:tcPr>
          <w:p>
            <w:pPr>
              <w:widowControl/>
              <w:spacing w:line="240" w:lineRule="exact"/>
              <w:jc w:val="left"/>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bl>
    <w:p>
      <w:pPr>
        <w:widowControl/>
        <w:spacing w:line="600" w:lineRule="auto"/>
        <w:jc w:val="left"/>
        <w:rPr>
          <w:rFonts w:hint="default" w:ascii="Times New Roman" w:hAnsi="Times New Roman" w:eastAsia="仿宋_GB2312" w:cs="Times New Roman"/>
          <w:color w:val="000000" w:themeColor="text1"/>
          <w:sz w:val="22"/>
          <w:szCs w:val="22"/>
          <w:highlight w:val="none"/>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填表人：</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涂姣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填报日期：</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2024.6.24</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联系电话：</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15074497086</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单位负责人签字：</w:t>
      </w:r>
      <w:r>
        <w:rPr>
          <w:rFonts w:hint="default" w:ascii="Times New Roman" w:hAnsi="Times New Roman" w:eastAsia="仿宋_GB2312" w:cs="Times New Roman"/>
          <w:color w:val="000000" w:themeColor="text1"/>
          <w:sz w:val="22"/>
          <w:szCs w:val="22"/>
          <w:highlight w:val="none"/>
          <w14:textFill>
            <w14:solidFill>
              <w14:schemeClr w14:val="tx1"/>
            </w14:solidFill>
          </w14:textFill>
        </w:rPr>
        <w:br w:type="page"/>
      </w:r>
    </w:p>
    <w:p>
      <w:pPr>
        <w:widowControl/>
        <w:spacing w:line="600" w:lineRule="auto"/>
        <w:jc w:val="left"/>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3</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w:t>
      </w:r>
    </w:p>
    <w:p>
      <w:pPr>
        <w:widowControl/>
        <w:spacing w:line="600" w:lineRule="exact"/>
        <w:jc w:val="cente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default"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3</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年度项目支出绩效自评表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079"/>
        <w:gridCol w:w="1078"/>
        <w:gridCol w:w="2030"/>
        <w:gridCol w:w="1055"/>
        <w:gridCol w:w="1079"/>
        <w:gridCol w:w="791"/>
        <w:gridCol w:w="73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出名称</w:t>
            </w:r>
          </w:p>
        </w:tc>
        <w:tc>
          <w:tcPr>
            <w:tcW w:w="8773" w:type="dxa"/>
            <w:gridSpan w:val="8"/>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住房保障事务管理经费</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主管部门</w:t>
            </w:r>
          </w:p>
        </w:tc>
        <w:tc>
          <w:tcPr>
            <w:tcW w:w="5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实施单位</w:t>
            </w:r>
          </w:p>
        </w:tc>
        <w:tc>
          <w:tcPr>
            <w:tcW w:w="2452" w:type="dxa"/>
            <w:gridSpan w:val="3"/>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（万元）</w:t>
            </w: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预算数</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预算数</w:t>
            </w:r>
          </w:p>
        </w:tc>
        <w:tc>
          <w:tcPr>
            <w:tcW w:w="1079"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执行数</w:t>
            </w:r>
          </w:p>
        </w:tc>
        <w:tc>
          <w:tcPr>
            <w:tcW w:w="79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执行率</w:t>
            </w:r>
          </w:p>
        </w:tc>
        <w:tc>
          <w:tcPr>
            <w:tcW w:w="928"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年度资金总额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146.86</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其中：当年财政拨款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147</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kern w:val="0"/>
                <w:sz w:val="20"/>
                <w:szCs w:val="2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146.86</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上年结转资金　</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2157"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其他资金</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p>
        </w:tc>
        <w:tc>
          <w:tcPr>
            <w:tcW w:w="5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预期目标</w:t>
            </w:r>
          </w:p>
        </w:tc>
        <w:tc>
          <w:tcPr>
            <w:tcW w:w="3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5242"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做好中心城区新建、改建、扩建、装饰装修等房屋白蚁预防和原有房屋的白蚁检查与灭治的管理工作；对城区南湖公园、金鹗公园、王家河公园、南湖广场等多个园林单位以及中心城区主干道行道树木进行白蚁灭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公租房小区的配租、清查和退出管理</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；和档案信息更新</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乡村振兴</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文明创建</w:t>
            </w:r>
            <w:r>
              <w:rPr>
                <w:rFonts w:hint="default" w:ascii="Times New Roman" w:hAnsi="Times New Roman" w:eastAsia="仿宋_GB2312" w:cs="Times New Roman"/>
                <w:color w:val="000000" w:themeColor="text1"/>
                <w:sz w:val="20"/>
                <w:szCs w:val="20"/>
                <w:highlight w:val="none"/>
                <w14:textFill>
                  <w14:solidFill>
                    <w14:schemeClr w14:val="tx1"/>
                  </w14:solidFill>
                </w14:textFill>
              </w:rPr>
              <w:t>等</w:t>
            </w:r>
            <w:r>
              <w:rPr>
                <w:rFonts w:hint="default" w:ascii="Times New Roman" w:hAnsi="Times New Roman" w:eastAsia="仿宋_GB2312" w:cs="Times New Roman"/>
                <w:color w:val="000000" w:themeColor="text1"/>
                <w:sz w:val="20"/>
                <w:szCs w:val="20"/>
                <w:highlight w:val="none"/>
                <w:lang w:eastAsia="zh-CN"/>
                <w14:textFill>
                  <w14:solidFill>
                    <w14:schemeClr w14:val="tx1"/>
                  </w14:solidFill>
                </w14:textFill>
              </w:rPr>
              <w:t>。</w:t>
            </w:r>
          </w:p>
        </w:tc>
        <w:tc>
          <w:tcPr>
            <w:tcW w:w="3531" w:type="dxa"/>
            <w:gridSpan w:val="4"/>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年度总体目标</w:t>
            </w: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标</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一级指标</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二级指标</w:t>
            </w:r>
          </w:p>
        </w:tc>
        <w:tc>
          <w:tcPr>
            <w:tcW w:w="20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三级指标</w:t>
            </w:r>
          </w:p>
        </w:tc>
        <w:tc>
          <w:tcPr>
            <w:tcW w:w="105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指标值</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完成值</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分值</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得分</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(50分)</w:t>
            </w:r>
          </w:p>
        </w:tc>
        <w:tc>
          <w:tcPr>
            <w:tcW w:w="1078" w:type="dxa"/>
            <w:vMerge w:val="restart"/>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数量指标</w:t>
            </w:r>
          </w:p>
        </w:tc>
        <w:tc>
          <w:tcPr>
            <w:tcW w:w="2030" w:type="dxa"/>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确保城区南湖公园、金鹗公园、王家河公园、南湖广场等多个园林单位以及城区主干道行道绿化树木90%的灭治区域无明显蚁害现象。</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xml:space="preserve">90%的灭治区域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城区新建房屋达到施工条件的进行施工全覆盖。</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300万平方米</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9</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制定施工方案</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1个</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质量指标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验收后确保城区南湖公园、金鹗公园、王家河公园、南湖广场等多个园林单位以及城区主干道行道绿化树木90%</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ab/>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1、无明显蚁害现象</w:t>
            </w:r>
          </w:p>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2、不出现重复蚁</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时效指标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保防期内复查、复治</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完成年内施工方案</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成本指标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严格按预算控制支出</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147万元</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146.86</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9.98</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c>
          <w:tcPr>
            <w:tcW w:w="1078"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经济效</w:t>
            </w:r>
          </w:p>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无直接经济效益</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不适用</w:t>
            </w: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　</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eastAsia"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不适用</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restart"/>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社会效</w:t>
            </w:r>
          </w:p>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城区南湖公园、金鹗公园、王家河公园、南湖广场等多个园林单位以及城区主干道行道树木逐渐消除蚁害。</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达到良好的社会效益</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4</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降低城市房屋白蚁危害。</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确保城市房屋住用安全</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4</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restart"/>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生态效</w:t>
            </w:r>
          </w:p>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益指标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逐渐消除城市园林绿地蚁害，达到山清水绿。</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环境效益好</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降低城市房屋白蚁危害，确保城市房屋住用安全。</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环境效益好</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restart"/>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可持续影响指标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蚁害逐年递减</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8" w:type="dxa"/>
            <w:vMerge w:val="continue"/>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城市房屋15年保防期内无蚁害现象发生</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有可持续影响</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14:textFill>
                  <w14:solidFill>
                    <w14:schemeClr w14:val="tx1"/>
                  </w14:solidFill>
                </w14:textFill>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100%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5</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（10分）</w:t>
            </w:r>
          </w:p>
        </w:tc>
        <w:tc>
          <w:tcPr>
            <w:tcW w:w="1078"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服务对象满意度指标</w:t>
            </w:r>
          </w:p>
        </w:tc>
        <w:tc>
          <w:tcPr>
            <w:tcW w:w="2030" w:type="dxa"/>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施工验收后达到90%以上的满意度</w:t>
            </w:r>
          </w:p>
        </w:tc>
        <w:tc>
          <w:tcPr>
            <w:tcW w:w="1055" w:type="dxa"/>
            <w:noWrap w:val="0"/>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t>90%</w:t>
            </w:r>
          </w:p>
        </w:tc>
        <w:tc>
          <w:tcPr>
            <w:tcW w:w="107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i w:val="0"/>
                <w:iCs w:val="0"/>
                <w:color w:val="000000" w:themeColor="text1"/>
                <w:kern w:val="0"/>
                <w:sz w:val="20"/>
                <w:szCs w:val="20"/>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90%</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lang w:val="en-US"/>
                <w14:textFill>
                  <w14:solidFill>
                    <w14:schemeClr w14:val="tx1"/>
                  </w14:solidFill>
                </w14:textFill>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10</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9" w:type="dxa"/>
            <w:gridSpan w:val="6"/>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总分</w:t>
            </w:r>
          </w:p>
        </w:tc>
        <w:tc>
          <w:tcPr>
            <w:tcW w:w="791"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100</w:t>
            </w:r>
          </w:p>
        </w:tc>
        <w:tc>
          <w:tcPr>
            <w:tcW w:w="73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0"/>
                <w:szCs w:val="20"/>
                <w:highlight w:val="none"/>
                <w:lang w:val="en-US" w:eastAsia="zh-CN"/>
                <w14:textFill>
                  <w14:solidFill>
                    <w14:schemeClr w14:val="tx1"/>
                  </w14:solidFill>
                </w14:textFill>
              </w:rPr>
              <w:t>96.97</w:t>
            </w:r>
          </w:p>
        </w:tc>
        <w:tc>
          <w:tcPr>
            <w:tcW w:w="928"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color w:val="000000" w:themeColor="text1"/>
                <w:sz w:val="20"/>
                <w:szCs w:val="20"/>
                <w:highlight w:val="none"/>
                <w14:textFill>
                  <w14:solidFill>
                    <w14:schemeClr w14:val="tx1"/>
                  </w14:solidFill>
                </w14:textFill>
              </w:rPr>
            </w:pPr>
            <w:r>
              <w:rPr>
                <w:rFonts w:hint="default" w:ascii="Times New Roman" w:hAnsi="Times New Roman" w:eastAsia="仿宋_GB2312" w:cs="Times New Roman"/>
                <w:color w:val="000000" w:themeColor="text1"/>
                <w:sz w:val="20"/>
                <w:szCs w:val="20"/>
                <w:highlight w:val="none"/>
                <w14:textFill>
                  <w14:solidFill>
                    <w14:schemeClr w14:val="tx1"/>
                  </w14:solidFill>
                </w14:textFill>
              </w:rPr>
              <w:t>　</w:t>
            </w:r>
          </w:p>
        </w:tc>
      </w:tr>
    </w:tbl>
    <w:p>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default" w:ascii="Times New Roman" w:hAnsi="Times New Roman" w:eastAsia="仿宋_GB2312" w:cs="Times New Roman"/>
          <w:color w:val="000000" w:themeColor="text1"/>
          <w:sz w:val="22"/>
          <w:szCs w:val="2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Lines="0" w:line="240" w:lineRule="auto"/>
        <w:ind w:right="0" w:rightChars="0"/>
        <w:jc w:val="both"/>
        <w:textAlignment w:val="auto"/>
        <w:rPr>
          <w:rFonts w:hint="default" w:ascii="Times New Roman" w:hAnsi="Times New Roman" w:eastAsia="仿宋_GB2312" w:cs="Times New Roman"/>
          <w:color w:val="000000" w:themeColor="text1"/>
          <w:sz w:val="22"/>
          <w:szCs w:val="22"/>
          <w:highlight w:val="none"/>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000000" w:themeColor="text1"/>
          <w:sz w:val="22"/>
          <w:szCs w:val="22"/>
          <w:highlight w:val="none"/>
          <w14:textFill>
            <w14:solidFill>
              <w14:schemeClr w14:val="tx1"/>
            </w14:solidFill>
          </w14:textFill>
        </w:rPr>
        <w:t>填表人：</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 xml:space="preserve">涂姣  </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填报日期：</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2024.6.5</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联系电话：</w:t>
      </w:r>
      <w:r>
        <w:rPr>
          <w:rFonts w:hint="eastAsia" w:ascii="Times New Roman" w:hAnsi="Times New Roman" w:eastAsia="仿宋_GB2312" w:cs="Times New Roman"/>
          <w:color w:val="000000" w:themeColor="text1"/>
          <w:sz w:val="22"/>
          <w:szCs w:val="22"/>
          <w:highlight w:val="none"/>
          <w:lang w:val="en-US" w:eastAsia="zh-CN"/>
          <w14:textFill>
            <w14:solidFill>
              <w14:schemeClr w14:val="tx1"/>
            </w14:solidFill>
          </w14:textFill>
        </w:rPr>
        <w:t>15074497086</w:t>
      </w:r>
      <w:r>
        <w:rPr>
          <w:rFonts w:hint="default" w:ascii="Times New Roman" w:hAnsi="Times New Roman" w:eastAsia="仿宋_GB2312" w:cs="Times New Roman"/>
          <w:color w:val="000000" w:themeColor="text1"/>
          <w:sz w:val="22"/>
          <w:szCs w:val="22"/>
          <w:highlight w:val="none"/>
          <w14:textFill>
            <w14:solidFill>
              <w14:schemeClr w14:val="tx1"/>
            </w14:solidFill>
          </w14:textFill>
        </w:rPr>
        <w:t xml:space="preserve"> 单位负责人签字</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963" w:type="dxa"/>
        <w:jc w:val="center"/>
        <w:tblLayout w:type="fixed"/>
        <w:tblCellMar>
          <w:top w:w="0" w:type="dxa"/>
          <w:left w:w="108" w:type="dxa"/>
          <w:bottom w:w="0" w:type="dxa"/>
          <w:right w:w="108" w:type="dxa"/>
        </w:tblCellMar>
      </w:tblPr>
      <w:tblGrid>
        <w:gridCol w:w="1049"/>
        <w:gridCol w:w="1024"/>
        <w:gridCol w:w="1395"/>
        <w:gridCol w:w="1987"/>
        <w:gridCol w:w="907"/>
        <w:gridCol w:w="1021"/>
        <w:gridCol w:w="615"/>
        <w:gridCol w:w="660"/>
        <w:gridCol w:w="1305"/>
      </w:tblGrid>
      <w:tr>
        <w:tblPrEx>
          <w:tblCellMar>
            <w:top w:w="0" w:type="dxa"/>
            <w:left w:w="108" w:type="dxa"/>
            <w:bottom w:w="0" w:type="dxa"/>
            <w:right w:w="108" w:type="dxa"/>
          </w:tblCellMar>
        </w:tblPrEx>
        <w:trP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91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非税收入执收成本</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　</w:t>
            </w:r>
          </w:p>
        </w:tc>
      </w:tr>
      <w:tr>
        <w:tblPrEx>
          <w:tblCellMar>
            <w:top w:w="0" w:type="dxa"/>
            <w:left w:w="108" w:type="dxa"/>
            <w:bottom w:w="0" w:type="dxa"/>
            <w:right w:w="108" w:type="dxa"/>
          </w:tblCellMar>
        </w:tblPrEx>
        <w:trPr>
          <w:jc w:val="center"/>
        </w:trPr>
        <w:tc>
          <w:tcPr>
            <w:tcW w:w="10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531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2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58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岳阳市住房保障服务中心</w:t>
            </w:r>
          </w:p>
        </w:tc>
      </w:tr>
      <w:tr>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116.29</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447%</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116.29</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447%</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4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31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531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1、按时完成并及时足额上缴2023年度非税征收任务——房租收入130万元。</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2、保障低收入家庭住房安全。</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3、良好的物业管理。　　</w:t>
            </w:r>
          </w:p>
        </w:tc>
        <w:tc>
          <w:tcPr>
            <w:tcW w:w="36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年度总体目标全部完成</w:t>
            </w:r>
          </w:p>
        </w:tc>
      </w:tr>
      <w:tr>
        <w:tblPrEx>
          <w:tblCellMar>
            <w:top w:w="0" w:type="dxa"/>
            <w:left w:w="108" w:type="dxa"/>
            <w:bottom w:w="0" w:type="dxa"/>
            <w:right w:w="108" w:type="dxa"/>
          </w:tblCellMar>
        </w:tblPrEx>
        <w:trPr>
          <w:jc w:val="center"/>
        </w:trPr>
        <w:tc>
          <w:tcPr>
            <w:tcW w:w="1049"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3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9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0" w:hRule="atLeast"/>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数量指标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u w:val="none"/>
              </w:rPr>
            </w:pPr>
            <w:r>
              <w:rPr>
                <w:rFonts w:hint="eastAsia" w:ascii="仿宋_GB2312" w:hAnsi="仿宋_GB2312" w:eastAsia="仿宋_GB2312" w:cs="仿宋_GB2312"/>
                <w:color w:val="000000"/>
                <w:sz w:val="20"/>
                <w:szCs w:val="20"/>
                <w:highlight w:val="none"/>
                <w:u w:val="none"/>
              </w:rPr>
              <w:t>非税收入——公租房租金收入</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共496套房屋租金收缴率</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保障低收入房屋居住安全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房屋维修维护</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物业管理</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即时即办</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严格按预算控制各项维修维护支出</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26万元以内</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116.29万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非税超收返还</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严格按预算控制人员支出和各项支出</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按人事和财务制度开支</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按人事和财务制度开支</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完成非税收入征收，保证低收入家庭居住安全</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130万元</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保障低收入家庭住</w:t>
            </w:r>
            <w:r>
              <w:rPr>
                <w:rFonts w:hint="eastAsia" w:ascii="仿宋_GB2312" w:hAnsi="仿宋_GB2312" w:eastAsia="仿宋_GB2312" w:cs="仿宋_GB2312"/>
                <w:color w:val="000000"/>
                <w:sz w:val="20"/>
                <w:szCs w:val="20"/>
                <w:highlight w:val="none"/>
                <w:lang w:val="en-US" w:eastAsia="zh-CN"/>
              </w:rPr>
              <w:t>有所居</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改善老旧城区面貌</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宜居小区</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真正实现低收入家庭两不愁、三保障中的不愁住</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496户</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4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租赁户满意率</w:t>
            </w:r>
          </w:p>
        </w:tc>
        <w:tc>
          <w:tcPr>
            <w:tcW w:w="9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7383"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3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default" w:ascii="Times New Roman" w:hAnsi="Times New Roman" w:eastAsia="仿宋_GB2312" w:cs="Times New Roman"/>
          <w:sz w:val="22"/>
          <w:szCs w:val="22"/>
          <w:highlight w:val="none"/>
        </w:rPr>
        <w:sectPr>
          <w:pgSz w:w="11906" w:h="16838"/>
          <w:pgMar w:top="986" w:right="1576" w:bottom="816" w:left="1576" w:header="851" w:footer="992" w:gutter="0"/>
          <w:pgNumType w:fmt="decimal" w:start="1"/>
          <w:cols w:space="425" w:num="1"/>
          <w:docGrid w:type="lines" w:linePitch="312" w:charSpace="0"/>
        </w:sect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涂姣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2024.6.5</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15074497086</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8"/>
        <w:tblW w:w="9851" w:type="dxa"/>
        <w:jc w:val="center"/>
        <w:tblLayout w:type="autofit"/>
        <w:tblCellMar>
          <w:top w:w="0" w:type="dxa"/>
          <w:left w:w="108" w:type="dxa"/>
          <w:bottom w:w="0" w:type="dxa"/>
          <w:right w:w="108" w:type="dxa"/>
        </w:tblCellMar>
      </w:tblPr>
      <w:tblGrid>
        <w:gridCol w:w="1080"/>
        <w:gridCol w:w="1080"/>
        <w:gridCol w:w="1080"/>
        <w:gridCol w:w="1224"/>
        <w:gridCol w:w="1350"/>
        <w:gridCol w:w="1005"/>
        <w:gridCol w:w="741"/>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保障房建设资金　</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岳阳市住房和城乡建设局</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岳阳市住房保障服务中心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解决低收入群体住房和棚改安置问题，改善人居环境，推动地方经济发展。　　</w:t>
            </w:r>
          </w:p>
        </w:tc>
        <w:tc>
          <w:tcPr>
            <w:tcW w:w="40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年度总体目标全部完成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公租房套数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496户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496户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还建房</w:t>
            </w:r>
            <w:r>
              <w:rPr>
                <w:rFonts w:hint="eastAsia" w:ascii="仿宋_GB2312" w:hAnsi="仿宋_GB2312" w:eastAsia="仿宋_GB2312" w:cs="仿宋_GB2312"/>
                <w:color w:val="000000"/>
                <w:sz w:val="20"/>
                <w:szCs w:val="20"/>
                <w:highlight w:val="none"/>
                <w:lang w:val="en-US" w:eastAsia="zh-CN"/>
              </w:rPr>
              <w:t>套数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155户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155户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满足国家相关规范要求</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基础工程验收合格。无任何质量安全事故。</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验收合格，无质量安全问题</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竣工时间</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2022年3月竣工验收备案　</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2022年3月竣工验收备案</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项目总投资</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项目总投资2.49亿元（政府批准概算）严格按合同支付工程进度款，成本处于可控范围</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成本处于可控范围内</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对地方经济建设拉动作用</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项目投资2.49亿元，拉动相关投资3.5亿元</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解决群众住房问题</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解决低收入家庭、棚改户496户住房问题，改善155户拆迁还建住户住房条件，维护社会稳定，促进城市和谐发展。</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符合国家环保政策，满足环评要求。</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改善城市环境，雨污分流，扬尘和噪音治理符合要求。</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节能、节地、节水等</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符合国家产业政策要求</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符合国家产业政策要求</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95%</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default" w:ascii="Times New Roman" w:hAnsi="Times New Roman" w:eastAsia="仿宋_GB2312" w:cs="Times New Roman"/>
                <w:color w:val="000000" w:themeColor="text1"/>
                <w:sz w:val="20"/>
                <w:szCs w:val="20"/>
                <w:highlight w:val="none"/>
                <w:lang w:val="en-US" w:eastAsia="zh-CN"/>
                <w14:textFill>
                  <w14:solidFill>
                    <w14:schemeClr w14:val="tx1"/>
                  </w14:solidFill>
                </w14:textFill>
              </w:rPr>
              <w:t>目标完成，无偏离度</w:t>
            </w:r>
          </w:p>
        </w:tc>
      </w:tr>
      <w:tr>
        <w:tblPrEx>
          <w:tblCellMar>
            <w:top w:w="0" w:type="dxa"/>
            <w:left w:w="108" w:type="dxa"/>
            <w:bottom w:w="0" w:type="dxa"/>
            <w:right w:w="108" w:type="dxa"/>
          </w:tblCellMar>
        </w:tblPrEx>
        <w:trPr>
          <w:jc w:val="center"/>
        </w:trPr>
        <w:tc>
          <w:tcPr>
            <w:tcW w:w="681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val="en-US" w:eastAsia="zh-CN"/>
        </w:rPr>
        <w:t xml:space="preserve">涂姣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2024.6.24</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eastAsia="zh-CN"/>
        </w:rPr>
        <w:t>：</w:t>
      </w:r>
      <w:r>
        <w:rPr>
          <w:rFonts w:hint="eastAsia" w:ascii="Times New Roman" w:hAnsi="Times New Roman" w:eastAsia="仿宋_GB2312" w:cs="Times New Roman"/>
          <w:sz w:val="22"/>
          <w:szCs w:val="22"/>
          <w:highlight w:val="none"/>
          <w:lang w:val="en-US" w:eastAsia="zh-CN"/>
        </w:rPr>
        <w:t>15074497086</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p>
    <w:sectPr>
      <w:pgSz w:w="11906" w:h="16838"/>
      <w:pgMar w:top="1157"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1C7C4"/>
    <w:multiLevelType w:val="singleLevel"/>
    <w:tmpl w:val="8091C7C4"/>
    <w:lvl w:ilvl="0" w:tentative="0">
      <w:start w:val="1"/>
      <w:numFmt w:val="decimal"/>
      <w:suff w:val="nothing"/>
      <w:lvlText w:val="%1、"/>
      <w:lvlJc w:val="left"/>
    </w:lvl>
  </w:abstractNum>
  <w:abstractNum w:abstractNumId="1">
    <w:nsid w:val="A3DA452B"/>
    <w:multiLevelType w:val="singleLevel"/>
    <w:tmpl w:val="A3DA452B"/>
    <w:lvl w:ilvl="0" w:tentative="0">
      <w:start w:val="9"/>
      <w:numFmt w:val="chineseCounting"/>
      <w:suff w:val="nothing"/>
      <w:lvlText w:val="%1、"/>
      <w:lvlJc w:val="left"/>
      <w:rPr>
        <w:rFonts w:hint="eastAsia"/>
      </w:rPr>
    </w:lvl>
  </w:abstractNum>
  <w:abstractNum w:abstractNumId="2">
    <w:nsid w:val="B808B791"/>
    <w:multiLevelType w:val="singleLevel"/>
    <w:tmpl w:val="B808B791"/>
    <w:lvl w:ilvl="0" w:tentative="0">
      <w:start w:val="2"/>
      <w:numFmt w:val="decimal"/>
      <w:suff w:val="nothing"/>
      <w:lvlText w:val="%1、"/>
      <w:lvlJc w:val="left"/>
    </w:lvl>
  </w:abstractNum>
  <w:abstractNum w:abstractNumId="3">
    <w:nsid w:val="B9BFB1A8"/>
    <w:multiLevelType w:val="singleLevel"/>
    <w:tmpl w:val="B9BFB1A8"/>
    <w:lvl w:ilvl="0" w:tentative="0">
      <w:start w:val="1"/>
      <w:numFmt w:val="decimal"/>
      <w:suff w:val="nothing"/>
      <w:lvlText w:val="%1、"/>
      <w:lvlJc w:val="left"/>
    </w:lvl>
  </w:abstractNum>
  <w:abstractNum w:abstractNumId="4">
    <w:nsid w:val="E51A0CC6"/>
    <w:multiLevelType w:val="singleLevel"/>
    <w:tmpl w:val="E51A0CC6"/>
    <w:lvl w:ilvl="0" w:tentative="0">
      <w:start w:val="2"/>
      <w:numFmt w:val="chineseCounting"/>
      <w:suff w:val="nothing"/>
      <w:lvlText w:val="（%1）"/>
      <w:lvlJc w:val="left"/>
      <w:rPr>
        <w:rFonts w:hint="eastAsia"/>
      </w:rPr>
    </w:lvl>
  </w:abstractNum>
  <w:abstractNum w:abstractNumId="5">
    <w:nsid w:val="F0A096AA"/>
    <w:multiLevelType w:val="singleLevel"/>
    <w:tmpl w:val="F0A096AA"/>
    <w:lvl w:ilvl="0" w:tentative="0">
      <w:start w:val="1"/>
      <w:numFmt w:val="decimal"/>
      <w:suff w:val="nothing"/>
      <w:lvlText w:val="%1、"/>
      <w:lvlJc w:val="left"/>
    </w:lvl>
  </w:abstractNum>
  <w:abstractNum w:abstractNumId="6">
    <w:nsid w:val="140B03C3"/>
    <w:multiLevelType w:val="singleLevel"/>
    <w:tmpl w:val="140B03C3"/>
    <w:lvl w:ilvl="0" w:tentative="0">
      <w:start w:val="4"/>
      <w:numFmt w:val="chineseCounting"/>
      <w:suff w:val="nothing"/>
      <w:lvlText w:val="%1、"/>
      <w:lvlJc w:val="left"/>
      <w:rPr>
        <w:rFonts w:hint="eastAsia"/>
      </w:rPr>
    </w:lvl>
  </w:abstractNum>
  <w:abstractNum w:abstractNumId="7">
    <w:nsid w:val="228969EA"/>
    <w:multiLevelType w:val="singleLevel"/>
    <w:tmpl w:val="228969EA"/>
    <w:lvl w:ilvl="0" w:tentative="0">
      <w:start w:val="1"/>
      <w:numFmt w:val="chineseCounting"/>
      <w:suff w:val="nothing"/>
      <w:lvlText w:val="%1、"/>
      <w:lvlJc w:val="left"/>
      <w:rPr>
        <w:rFonts w:hint="eastAsia"/>
      </w:rPr>
    </w:lvl>
  </w:abstractNum>
  <w:num w:numId="1">
    <w:abstractNumId w:val="7"/>
  </w:num>
  <w:num w:numId="2">
    <w:abstractNumId w:val="5"/>
  </w:num>
  <w:num w:numId="3">
    <w:abstractNumId w:val="3"/>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AyN2E3YWRjMmI5NTI5YTMxMTYzNDI2N2QwMzUifQ=="/>
  </w:docVars>
  <w:rsids>
    <w:rsidRoot w:val="59886344"/>
    <w:rsid w:val="01BF5575"/>
    <w:rsid w:val="030D34E9"/>
    <w:rsid w:val="03345AEF"/>
    <w:rsid w:val="038F07DA"/>
    <w:rsid w:val="03C230FA"/>
    <w:rsid w:val="03D64153"/>
    <w:rsid w:val="0541053E"/>
    <w:rsid w:val="07096CC3"/>
    <w:rsid w:val="07A60D5C"/>
    <w:rsid w:val="07BE1792"/>
    <w:rsid w:val="085E53BC"/>
    <w:rsid w:val="08C416C3"/>
    <w:rsid w:val="091D0AB4"/>
    <w:rsid w:val="0951428C"/>
    <w:rsid w:val="09E65669"/>
    <w:rsid w:val="0B0D3FDC"/>
    <w:rsid w:val="0B7868B7"/>
    <w:rsid w:val="0BC814CA"/>
    <w:rsid w:val="0C593EA3"/>
    <w:rsid w:val="0FBD4B74"/>
    <w:rsid w:val="10260EB5"/>
    <w:rsid w:val="10473273"/>
    <w:rsid w:val="10EF47A3"/>
    <w:rsid w:val="122512A7"/>
    <w:rsid w:val="12823991"/>
    <w:rsid w:val="12BC340B"/>
    <w:rsid w:val="12FC5EFD"/>
    <w:rsid w:val="13F14EFC"/>
    <w:rsid w:val="16492A93"/>
    <w:rsid w:val="171739A6"/>
    <w:rsid w:val="17CE60BA"/>
    <w:rsid w:val="17D17F51"/>
    <w:rsid w:val="18543B9A"/>
    <w:rsid w:val="19277C60"/>
    <w:rsid w:val="19507774"/>
    <w:rsid w:val="199B6470"/>
    <w:rsid w:val="1AC217DA"/>
    <w:rsid w:val="1AC31E86"/>
    <w:rsid w:val="1AE600F4"/>
    <w:rsid w:val="1B4641B9"/>
    <w:rsid w:val="1B933BF8"/>
    <w:rsid w:val="1BD140AA"/>
    <w:rsid w:val="1C6A0015"/>
    <w:rsid w:val="1CA31D28"/>
    <w:rsid w:val="1D0E5D1E"/>
    <w:rsid w:val="1D655CE4"/>
    <w:rsid w:val="1E314D51"/>
    <w:rsid w:val="1F120F82"/>
    <w:rsid w:val="1F170346"/>
    <w:rsid w:val="1F5076F3"/>
    <w:rsid w:val="218A7A01"/>
    <w:rsid w:val="219C7A82"/>
    <w:rsid w:val="224156DA"/>
    <w:rsid w:val="229323DA"/>
    <w:rsid w:val="2373298F"/>
    <w:rsid w:val="237C5D58"/>
    <w:rsid w:val="26155504"/>
    <w:rsid w:val="263900D6"/>
    <w:rsid w:val="26CC5EBA"/>
    <w:rsid w:val="27837766"/>
    <w:rsid w:val="284C4191"/>
    <w:rsid w:val="286F4817"/>
    <w:rsid w:val="29B17794"/>
    <w:rsid w:val="2AD6032F"/>
    <w:rsid w:val="2ADC0696"/>
    <w:rsid w:val="2B243FAD"/>
    <w:rsid w:val="2C050895"/>
    <w:rsid w:val="2C212804"/>
    <w:rsid w:val="2C355769"/>
    <w:rsid w:val="2C71481F"/>
    <w:rsid w:val="2D051C40"/>
    <w:rsid w:val="2D091E2F"/>
    <w:rsid w:val="2D7E06DF"/>
    <w:rsid w:val="2D8C7408"/>
    <w:rsid w:val="2E6B213C"/>
    <w:rsid w:val="2EC17EC2"/>
    <w:rsid w:val="2EEF6A27"/>
    <w:rsid w:val="30EE4C7F"/>
    <w:rsid w:val="30FF6E8C"/>
    <w:rsid w:val="31172428"/>
    <w:rsid w:val="312131A7"/>
    <w:rsid w:val="317433D6"/>
    <w:rsid w:val="32207E4F"/>
    <w:rsid w:val="32626969"/>
    <w:rsid w:val="32E91BA2"/>
    <w:rsid w:val="32F64E7E"/>
    <w:rsid w:val="346D0FE4"/>
    <w:rsid w:val="34A33B07"/>
    <w:rsid w:val="35CE14C6"/>
    <w:rsid w:val="35D02BA5"/>
    <w:rsid w:val="3643781B"/>
    <w:rsid w:val="37074CED"/>
    <w:rsid w:val="375C4D18"/>
    <w:rsid w:val="375F6026"/>
    <w:rsid w:val="37897C7C"/>
    <w:rsid w:val="3809239F"/>
    <w:rsid w:val="384F24A7"/>
    <w:rsid w:val="38C033A5"/>
    <w:rsid w:val="39B90E85"/>
    <w:rsid w:val="3A86417A"/>
    <w:rsid w:val="3A874BD8"/>
    <w:rsid w:val="3A992F8C"/>
    <w:rsid w:val="3A9D6DFE"/>
    <w:rsid w:val="3AD63FC5"/>
    <w:rsid w:val="3AE07990"/>
    <w:rsid w:val="3B211535"/>
    <w:rsid w:val="3B632ED8"/>
    <w:rsid w:val="3C177780"/>
    <w:rsid w:val="3D884009"/>
    <w:rsid w:val="3D896191"/>
    <w:rsid w:val="3E246184"/>
    <w:rsid w:val="3E300685"/>
    <w:rsid w:val="3FA034D4"/>
    <w:rsid w:val="412F2E76"/>
    <w:rsid w:val="41474664"/>
    <w:rsid w:val="420267DC"/>
    <w:rsid w:val="42332D3F"/>
    <w:rsid w:val="43747724"/>
    <w:rsid w:val="43B81849"/>
    <w:rsid w:val="44041E3C"/>
    <w:rsid w:val="44054362"/>
    <w:rsid w:val="44195AD4"/>
    <w:rsid w:val="44E12BE6"/>
    <w:rsid w:val="45FF5626"/>
    <w:rsid w:val="46544838"/>
    <w:rsid w:val="46C6602A"/>
    <w:rsid w:val="481505D2"/>
    <w:rsid w:val="4821210F"/>
    <w:rsid w:val="487F0532"/>
    <w:rsid w:val="490115D2"/>
    <w:rsid w:val="49813A2F"/>
    <w:rsid w:val="49A14B2D"/>
    <w:rsid w:val="4A06310F"/>
    <w:rsid w:val="4A77763C"/>
    <w:rsid w:val="4A9E080E"/>
    <w:rsid w:val="4C1F05D9"/>
    <w:rsid w:val="4C5E73C0"/>
    <w:rsid w:val="4D707FFE"/>
    <w:rsid w:val="4E157897"/>
    <w:rsid w:val="4E9C0204"/>
    <w:rsid w:val="4EAB0C1C"/>
    <w:rsid w:val="4EEC684A"/>
    <w:rsid w:val="4F8B5318"/>
    <w:rsid w:val="4F94767E"/>
    <w:rsid w:val="4FB45452"/>
    <w:rsid w:val="504B3428"/>
    <w:rsid w:val="50DA7F96"/>
    <w:rsid w:val="51307BBA"/>
    <w:rsid w:val="51984A73"/>
    <w:rsid w:val="51AF3F96"/>
    <w:rsid w:val="523A41EC"/>
    <w:rsid w:val="531B76FE"/>
    <w:rsid w:val="532F0F7F"/>
    <w:rsid w:val="53984706"/>
    <w:rsid w:val="53F02939"/>
    <w:rsid w:val="540D34EB"/>
    <w:rsid w:val="54484523"/>
    <w:rsid w:val="54B14AB0"/>
    <w:rsid w:val="5560589C"/>
    <w:rsid w:val="561B2CF0"/>
    <w:rsid w:val="561C2B4F"/>
    <w:rsid w:val="575D5545"/>
    <w:rsid w:val="57FE1686"/>
    <w:rsid w:val="58414EA0"/>
    <w:rsid w:val="58B862F1"/>
    <w:rsid w:val="59153460"/>
    <w:rsid w:val="592C7D4F"/>
    <w:rsid w:val="595E1385"/>
    <w:rsid w:val="59886344"/>
    <w:rsid w:val="5A7933C0"/>
    <w:rsid w:val="5B202D62"/>
    <w:rsid w:val="5BBB79D7"/>
    <w:rsid w:val="5C2F7D76"/>
    <w:rsid w:val="5C503FFD"/>
    <w:rsid w:val="5CBE52AD"/>
    <w:rsid w:val="5EB56C59"/>
    <w:rsid w:val="5EDD2BC2"/>
    <w:rsid w:val="5F744618"/>
    <w:rsid w:val="5F777228"/>
    <w:rsid w:val="6095125E"/>
    <w:rsid w:val="62D424E5"/>
    <w:rsid w:val="631657EC"/>
    <w:rsid w:val="63557D1A"/>
    <w:rsid w:val="659B2CCA"/>
    <w:rsid w:val="66533E3C"/>
    <w:rsid w:val="66FD6545"/>
    <w:rsid w:val="67B41220"/>
    <w:rsid w:val="67C45716"/>
    <w:rsid w:val="685B7BDB"/>
    <w:rsid w:val="699A0452"/>
    <w:rsid w:val="6A611A43"/>
    <w:rsid w:val="6C382C77"/>
    <w:rsid w:val="6D5C087A"/>
    <w:rsid w:val="6E59263E"/>
    <w:rsid w:val="6ECE013E"/>
    <w:rsid w:val="6F813CCD"/>
    <w:rsid w:val="6FD04D0F"/>
    <w:rsid w:val="71045B67"/>
    <w:rsid w:val="71525E28"/>
    <w:rsid w:val="72561DC1"/>
    <w:rsid w:val="732D1CCE"/>
    <w:rsid w:val="73D90AED"/>
    <w:rsid w:val="757A7E5C"/>
    <w:rsid w:val="75C06802"/>
    <w:rsid w:val="77336515"/>
    <w:rsid w:val="78871CEA"/>
    <w:rsid w:val="78B447B6"/>
    <w:rsid w:val="78C45047"/>
    <w:rsid w:val="79600350"/>
    <w:rsid w:val="7AC878BC"/>
    <w:rsid w:val="7B25086A"/>
    <w:rsid w:val="7B5D01B2"/>
    <w:rsid w:val="7C217284"/>
    <w:rsid w:val="7C9E2756"/>
    <w:rsid w:val="7E6F7D52"/>
    <w:rsid w:val="7EAB4BAB"/>
    <w:rsid w:val="7EB919F5"/>
    <w:rsid w:val="7EEA7DE1"/>
    <w:rsid w:val="7EF0627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宋体" w:cs="Times New Roman"/>
      <w:kern w:val="0"/>
      <w:sz w:val="28"/>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rPr>
      <w:rFonts w:hint="default"/>
      <w:sz w:val="21"/>
      <w:szCs w:val="24"/>
    </w:rPr>
  </w:style>
  <w:style w:type="paragraph" w:styleId="3">
    <w:name w:val="toa heading"/>
    <w:basedOn w:val="1"/>
    <w:next w:val="1"/>
    <w:autoRedefine/>
    <w:qFormat/>
    <w:uiPriority w:val="99"/>
    <w:pPr>
      <w:spacing w:before="120" w:after="200" w:line="276" w:lineRule="auto"/>
    </w:pPr>
    <w:rPr>
      <w:rFonts w:ascii="Arial" w:hAnsi="Arial"/>
      <w:sz w:val="24"/>
    </w:rPr>
  </w:style>
  <w:style w:type="paragraph" w:styleId="4">
    <w:name w:val="Body Text"/>
    <w:basedOn w:val="1"/>
    <w:autoRedefine/>
    <w:qFormat/>
    <w:uiPriority w:val="0"/>
    <w:rPr>
      <w:rFonts w:ascii="仿宋" w:hAnsi="仿宋" w:eastAsia="仿宋" w:cs="仿宋"/>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0">
    <w:name w:val="列出段落1"/>
    <w:basedOn w:val="1"/>
    <w:qFormat/>
    <w:uiPriority w:val="34"/>
    <w:pPr>
      <w:ind w:firstLine="420" w:firstLineChars="200"/>
    </w:pPr>
  </w:style>
  <w:style w:type="paragraph" w:styleId="11">
    <w:name w:val="List Paragraph"/>
    <w:basedOn w:val="1"/>
    <w:autoRedefine/>
    <w:qFormat/>
    <w:uiPriority w:val="99"/>
    <w:pPr>
      <w:ind w:firstLine="420" w:firstLineChars="200"/>
    </w:pPr>
    <w:rPr>
      <w:rFonts w:ascii="Calibri" w:hAnsi="Calibri"/>
      <w:szCs w:val="22"/>
    </w:rPr>
  </w:style>
  <w:style w:type="character" w:customStyle="1" w:styleId="12">
    <w:name w:val="font31"/>
    <w:basedOn w:val="9"/>
    <w:autoRedefine/>
    <w:qFormat/>
    <w:uiPriority w:val="0"/>
    <w:rPr>
      <w:rFonts w:ascii="Calibri" w:hAnsi="Calibri" w:cs="Calibri"/>
      <w:color w:val="000000"/>
      <w:sz w:val="20"/>
      <w:szCs w:val="20"/>
      <w:u w:val="none"/>
    </w:rPr>
  </w:style>
  <w:style w:type="character" w:customStyle="1" w:styleId="13">
    <w:name w:val="font41"/>
    <w:basedOn w:val="9"/>
    <w:autoRedefine/>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7335</Words>
  <Characters>8245</Characters>
  <Lines>0</Lines>
  <Paragraphs>0</Paragraphs>
  <TotalTime>44</TotalTime>
  <ScaleCrop>false</ScaleCrop>
  <LinksUpToDate>false</LinksUpToDate>
  <CharactersWithSpaces>8477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涂姣</cp:lastModifiedBy>
  <cp:lastPrinted>2024-06-12T08:34:00Z</cp:lastPrinted>
  <dcterms:modified xsi:type="dcterms:W3CDTF">2024-07-02T07:22:12Z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7F5D9A5162D54459AC103A51F989B276_13</vt:lpwstr>
  </property>
</Properties>
</file>