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4</w:t>
      </w:r>
    </w:p>
    <w:p>
      <w:pPr>
        <w:ind w:firstLine="640" w:firstLineChars="200"/>
        <w:rPr>
          <w:rFonts w:ascii="Times New Roman" w:hAnsi="Times New Roman" w:eastAsia="仿宋_GB2312"/>
          <w:sz w:val="32"/>
          <w:szCs w:val="32"/>
        </w:rPr>
      </w:pPr>
    </w:p>
    <w:p>
      <w:pPr>
        <w:spacing w:line="70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中共岳阳经济技术开发区工作委员会</w:t>
      </w:r>
    </w:p>
    <w:p>
      <w:pPr>
        <w:spacing w:line="700" w:lineRule="exact"/>
        <w:jc w:val="center"/>
        <w:rPr>
          <w:rFonts w:ascii="Times New Roman" w:hAnsi="Times New Roman" w:eastAsia="楷体_GB2312"/>
          <w:b/>
          <w:sz w:val="32"/>
          <w:szCs w:val="32"/>
        </w:rPr>
      </w:pPr>
      <w:r>
        <w:rPr>
          <w:rFonts w:ascii="Times New Roman" w:hAnsi="Times New Roman" w:eastAsia="方正小标宋简体"/>
          <w:sz w:val="44"/>
          <w:szCs w:val="44"/>
        </w:rPr>
        <w:t>关于巡视整改进展情况的通报</w:t>
      </w:r>
      <w:bookmarkEnd w:id="0"/>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省委统一部署，2023年3月11日至5月10日，省委第七巡视组对岳阳经济技术开发区进行了专项巡视。2023年7月20日，省委巡视组向岳阳经济技术开发区党工委反馈了巡视意见。按照巡视工作有关要求，现将巡视整改进展情况予以公布。</w:t>
      </w:r>
    </w:p>
    <w:p>
      <w:pPr>
        <w:ind w:firstLine="640" w:firstLineChars="200"/>
        <w:rPr>
          <w:rFonts w:ascii="Times New Roman" w:hAnsi="Times New Roman" w:eastAsia="黑体"/>
          <w:sz w:val="32"/>
          <w:szCs w:val="32"/>
        </w:rPr>
      </w:pPr>
      <w:r>
        <w:rPr>
          <w:rFonts w:ascii="Times New Roman" w:hAnsi="黑体" w:eastAsia="黑体"/>
          <w:sz w:val="32"/>
          <w:szCs w:val="32"/>
        </w:rPr>
        <w:t>一、组织整改落实情况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岳阳经济技术开发区党工委以学习贯彻习近平新时代中国特色社会主义思想和党的二十大精神为引领，将省委第七巡视组专项巡视岳阳经开区反馈意见的整改工作，作为当前和今后一个时期首要政治任务，作为检验“四个意识”“两个维护”的重要标尺，作为改进工作、推动发展的重大机遇，持续深化思想认识，细化整改措施，强化组织保障，牢牢把巡视整改抓在手上、扛在肩上、落实在行动上。</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区党工委主要负责人坚决扛牢巡视整改第一责任人责任，成立区党工委巡视整改工作领导小组并担任组长；于7月28日、9月11日、9月22日、10月13日、11月1日、11月23日组织召开6次区工委会议专题研究审议《整改方案》，听取巡视整改进展情况汇报，研判并推动解决重点难点问题；建立区工委、管委会主要领导旬调度制度，听取重点情况、会商重点问题、推进重点任务。全区持续营造浓厚氛围，结合主题教育、大兴调查研究、“走找想促”、“37+N”重点工作推进等部署，全盘推进巡视整改工作走深走实。</w:t>
      </w:r>
    </w:p>
    <w:p>
      <w:pPr>
        <w:ind w:firstLine="640" w:firstLineChars="200"/>
        <w:rPr>
          <w:rFonts w:ascii="Times New Roman" w:hAnsi="Times New Roman" w:eastAsia="黑体"/>
          <w:sz w:val="32"/>
          <w:szCs w:val="32"/>
        </w:rPr>
      </w:pPr>
      <w:r>
        <w:rPr>
          <w:rFonts w:ascii="Times New Roman" w:hAnsi="黑体" w:eastAsia="黑体"/>
          <w:sz w:val="32"/>
          <w:szCs w:val="32"/>
        </w:rPr>
        <w:t>二、集中整改期内已完成或阶段性完成的整改事项</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（一）反馈问题：发展现状与国家级园区要求有差距。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1.问题：主导产业培育不足。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整改情况：一是打造工业经济增长点，今年新签约项目35个，签约金额387.8亿元。二是出台方案，组建专班，抓“五好”园区创建。三是抓产业优化和产业集群建设，明确产业发展定位，在全区“十四五”规划的基础上，出台《岳阳经开区“十四五”产业规划》，构建由主导产业、辅助产业和特色产业构成的现代产业体系。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2.问题：对外开发度偏低。</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整改情况：已加快自贸区协同联动区建设，积极帮扶外向型企业，加快开放平台建设。</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3.问题：履约监管有短板。</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整改情况：一是全面清理入区项目，建立履约监管项目库。二是出台《入区项目履约监管工作方案》、《岳阳经济技术开发区招商引资项目入区管理办法》。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4.问题：国企改革不到位。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整改情况：推进区属平台公司现代企业建设，通过“四海揽才”等形式公开招聘引进人才，推进劳动、人事、薪酬等制度改革。</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（二）反馈问题：资金安全风险较高。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5.问题：存在化债压力。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整改情况：一是安排“三资”处置收入和基金收入征收。二是严格按照化债政策要求足额、如期还本付息。 三是实行国有企业经营性债务总额控制。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6.问题：平台公司以公益性资产作为租赁物融资。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整改情况：一是督促平台公司将原租赁物变更为经营性资产。二是修订制度，规范融资的审批和管理。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7.问题：区属平台公司担保连带责任较大。</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整改情况：一是定期核查被担保人情况。二是完善公司对外担保管理制度。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8.问题：国有资金，存在违规出借和应收未收资金情况。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整改情况：一是收回违规出借和应收未收资金。二是出台相关制度。三是安排财力列支消化历年欠款。</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（三）反馈问题：落实中央重大决策部署要求不到位。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9.问题：牢记“守护好一江碧水”嘱托未入脑入心。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加强生态环保问题整治力度，出台《区级污染防治攻坚战月考核约谈实施办法》、《2023年岳阳经济技术开发区深入打好污染防治攻坚战工作方案》及《2023年岳阳经济技术开发区污染防治攻坚战“夏季攻势”任务清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10.问题：信访矛盾化解有待加强。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整改情况：一是加大信访矛盾化解力度。二是因案施策，持续做好稳控工作。三是依法行政，严格文明执法，让权力依法、阳光、公正运行，减少信访产生源头。</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11.问题：存在安置未到位现象。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整改情况：一是理清台账，分步推进。二是督促区内企业加快安置。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12.问题：存在安全隐患，太阳桥市场、中南市场等房屋违建、消防隐患等问题。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整改情况：一是区安委会重点督办，确保安全隐患按期按要求整改销号。二是对相关消防隐患问题立行立改。三是对违建房屋分类处置。四是加强市场规范化管理。</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（四）反馈问题：党工委扛牢主体责任有缺失。</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13.问题：党工委对党风廉政建设工作重视不够。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进一步压实党工委主体责任，已出台《区党工委落实全面从严治党主体责任清单》。二是建立向分管区工委领导发送提示函机制。三是出台《开展行政执法领域作风和腐败问题专项整治工作方案》。四是开展“以案促改”“以案促治”专题警示教育。五是健全反腐败工作领导小组工作机制。</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（五）反馈问题：落实监督责任不够有力。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14.问题：政治监督不精准，监督执纪震慑力不强。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整改结果：基本完成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完善政治监督清单，制定《派驻纪检监察组会商工作实施办法》。二是督促“洞庭清波”任务销号。三是深入开展“三湘护农”专项行动。四是督促全区各部门单位开展纪律教育、警示教育和单位主要负责人讲授廉政教育课，下发作风督查通报9期。</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（六）反馈问题：“四风”问题表现凸显。</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15.问题：存在文山会海现象。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整改情况：区党工委出台《关于深化拓展整治形式主义为基层减负实施细则》，严格会议审批制度，出台区“无会周”制度。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16.问题：官僚主义时有存在，部分领导沉到一线较少。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整改情况：一是开展学习贯彻习近平新时代中国特色社会主义思想主题教育。二是出台《关于在全区大兴调查研究助力打造经济发展主引擎的实施方案》和《区党工委领导班子深入开展调查研究的工作方案》。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17.问题：存在违规发放津贴补助的问题。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整改情况：一是开展清退违规发放津补贴。二是修订文件，规范津贴补助发放。 </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（七）反馈问题：部分领域廉政风险高。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18.问题：招投标监管不到位。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整改情况：一是加强对招投标工作督查督办。二是核查处理，加大问责力度。三是出台《区2023年工程建设项目招投标突出问题专项治理工作要点》、《全区政府投资工程项目招投标突出问题专项检查》。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19.问题：征拆领域存在廉政风险。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整改情况：一是完善征拆领域相关制度文件，进一步规范征地拆迁工作。二是加强纪检监督。三是在全区深入开展警示教育。</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（八）反馈问题：领导班子作用发挥有差距。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20.问题：班子凝聚力有待提升，队伍结构老化。</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整改情况：梳理干部任职时长管理台账，严格干部任职年限管理，有计划推进干部交流。</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21.问题：决策不够民主科学，会前酝酿不充分。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整改情况：修订完善《中共岳阳经济技术开发区工作委员会工作规则》，加强会前沟通。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22.问题：存在违建别墅治理不当造成负面影响现象。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整改情况：一是已对接市相关职能部门作出认定意见。二是组织区相关部门进一步加强排查和治理。三是区纪工委监工委配合市纪委对涉及党员干部违纪违规问题追责问责到位。</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（九）反馈问题：干部队伍建设短板明显。</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23.问题：干部队伍结构不优。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整改情况：一是加大对任职时间较长干部交流力度。二是优化干部学历、专业结构，加大人才引进力度。三是坚持“五看五讲”“好干部”标准，严格执行干部选拔任用有关规定。四是对借调人员进行清理。</w:t>
      </w:r>
    </w:p>
    <w:p>
      <w:pPr>
        <w:ind w:firstLine="640" w:firstLineChars="200"/>
        <w:rPr>
          <w:rFonts w:ascii="Times New Roman" w:hAnsi="Times New Roman" w:eastAsia="黑体"/>
          <w:sz w:val="32"/>
          <w:szCs w:val="32"/>
        </w:rPr>
      </w:pPr>
      <w:r>
        <w:rPr>
          <w:rFonts w:ascii="Times New Roman" w:hAnsi="黑体" w:eastAsia="黑体"/>
          <w:sz w:val="32"/>
          <w:szCs w:val="32"/>
        </w:rPr>
        <w:t>三、集中整改期内未完成或长期整改</w:t>
      </w:r>
      <w:r>
        <w:rPr>
          <w:rFonts w:ascii="Times New Roman" w:hAnsi="Times New Roman" w:eastAsia="仿宋_GB2312"/>
          <w:sz w:val="32"/>
          <w:szCs w:val="32"/>
        </w:rPr>
        <w:t>Ⅱ</w:t>
      </w:r>
      <w:r>
        <w:rPr>
          <w:rFonts w:ascii="Times New Roman" w:hAnsi="黑体" w:eastAsia="黑体"/>
          <w:sz w:val="32"/>
          <w:szCs w:val="32"/>
        </w:rPr>
        <w:t>类的整改事项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pPr>
        <w:ind w:firstLine="640" w:firstLineChars="200"/>
        <w:rPr>
          <w:rFonts w:ascii="Times New Roman" w:hAnsi="Times New Roman" w:eastAsia="黑体"/>
          <w:sz w:val="32"/>
          <w:szCs w:val="32"/>
        </w:rPr>
      </w:pPr>
      <w:r>
        <w:rPr>
          <w:rFonts w:ascii="Times New Roman" w:hAnsi="黑体" w:eastAsia="黑体"/>
          <w:sz w:val="32"/>
          <w:szCs w:val="32"/>
        </w:rPr>
        <w:t>四、下一步整改工作安排</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（一）健全“常”的机制。</w:t>
      </w:r>
      <w:r>
        <w:rPr>
          <w:rFonts w:ascii="Times New Roman" w:hAnsi="Times New Roman" w:eastAsia="仿宋_GB2312"/>
          <w:sz w:val="32"/>
          <w:szCs w:val="32"/>
        </w:rPr>
        <w:t>加强思想认识，建立验收销号制度和定期讲评制度。对巡视反馈意见问题拉条挂账、建档挂号。集中整改期内未完成整改以及需要长期整改的，要求牵头责任单位制订更加具体的措施，确保所有问题在3年期限内全部整改到位、验收销号。坚持“当下改”与“长久立”相结合，针对巡视反馈的每一个具体问题，举一反三、以点带面、建章立制，经常性开展各项专项整治与讲评活动。</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（二）持续“严”的氛围。</w:t>
      </w:r>
      <w:r>
        <w:rPr>
          <w:rFonts w:ascii="Times New Roman" w:hAnsi="Times New Roman" w:eastAsia="仿宋_GB2312"/>
          <w:sz w:val="32"/>
          <w:szCs w:val="32"/>
        </w:rPr>
        <w:t>强化整改督查问责，对巡视整改督查中发现的形式主义、官僚主义和整改落实不力的情况进行通报、交办、约谈；对拒不整改、敷衍整改、虚假整改甚至问题反弹回潮的，依照《中国共产党纪律处分条例》启动严肃追责问责。以创建清廉经开区为主要抓手，做实干部廉政警示教育，持续深化作风建设，深入开展以案促改、以案促治、以案促教，健全责任体系、打造清廉单元、创优发展环境。</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（三）确保“好”的效果。</w:t>
      </w:r>
      <w:r>
        <w:rPr>
          <w:rFonts w:ascii="Times New Roman" w:hAnsi="Times New Roman" w:eastAsia="仿宋_GB2312"/>
          <w:sz w:val="32"/>
          <w:szCs w:val="32"/>
        </w:rPr>
        <w:t>强化整改结果运用，切实运用好历轮巡视整改成果，把巡视整改成果与政治生态研判、党风廉政建设、干部选拔任用、综合绩效考核等工作有机结合，与解决战略性、全局性、前瞻性问题紧密结合起来，与加强领导班子和干部队伍建设结合起来，以经济社会发展检验巡视整改工作成果，推动岳阳经开区经济社会持续高质量发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视整改落实情况进行监督。如有意见建议，请及时向我们反映。联系电话：0730-8720988；邮政信箱：湖南省岳阳市岳阳大道9号岳阳经济技术开发区管理委员会办公室（414000）；电子邮箱：79076117@qq.com。</w:t>
      </w:r>
    </w:p>
    <w:p>
      <w:pPr>
        <w:ind w:firstLine="640" w:firstLineChars="200"/>
        <w:rPr>
          <w:rFonts w:ascii="Times New Roman" w:hAnsi="Times New Roman" w:eastAsia="仿宋_GB2312"/>
          <w:sz w:val="32"/>
          <w:szCs w:val="32"/>
        </w:rPr>
      </w:pPr>
    </w:p>
    <w:p>
      <w:pPr>
        <w:ind w:firstLine="1120" w:firstLineChars="350"/>
        <w:rPr>
          <w:rFonts w:ascii="Times New Roman" w:hAnsi="Times New Roman" w:eastAsia="仿宋_GB2312"/>
          <w:sz w:val="32"/>
          <w:szCs w:val="32"/>
        </w:rPr>
      </w:pPr>
      <w:r>
        <w:rPr>
          <w:rFonts w:ascii="Times New Roman" w:hAnsi="Times New Roman" w:eastAsia="仿宋_GB2312"/>
          <w:sz w:val="32"/>
          <w:szCs w:val="32"/>
        </w:rPr>
        <w:t xml:space="preserve">        中共岳阳经济技术开发区工作委员会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2023年12月2</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 xml:space="preserve">日   </w:t>
      </w:r>
    </w:p>
    <w:p/>
    <w:sectPr>
      <w:footerReference r:id="rId3" w:type="default"/>
      <w:pgSz w:w="11906" w:h="16838"/>
      <w:pgMar w:top="1985"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8785" cy="250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8785" cy="250190"/>
                      </a:xfrm>
                      <a:prstGeom prst="rect">
                        <a:avLst/>
                      </a:prstGeom>
                      <a:noFill/>
                      <a:ln>
                        <a:noFill/>
                      </a:ln>
                    </wps:spPr>
                    <wps:txbx>
                      <w:txbxContent>
                        <w:p>
                          <w:pPr>
                            <w:pStyle w:val="4"/>
                            <w:rPr>
                              <w:sz w:val="28"/>
                              <w:szCs w:val="28"/>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9.7pt;width:34.55pt;mso-position-horizontal:center;mso-position-horizontal-relative:margin;z-index:251659264;mso-width-relative:page;mso-height-relative:page;" filled="f" stroked="f" coordsize="21600,21600" o:gfxdata="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pMvr9MAAAADAQAADwAAAAAAAAABACAAAAAiAAAAZHJzL2Rvd25yZXYueG1sUEsBAhQAFAAA&#10;AAgAh07iQMwaqK27AQAAcQMAAA4AAAAAAAAAAQAgAAAAIgEAAGRycy9lMm9Eb2MueG1sUEsFBgAA&#10;AAAGAAYAWQEAAE8FAAAAAA==&#10;">
              <v:path/>
              <v:fill on="f" focussize="0,0"/>
              <v:stroke on="f"/>
              <v:imagedata o:title=""/>
              <o:lock v:ext="edit"/>
              <v:textbox inset="0mm,0mm,0mm,0mm">
                <w:txbxContent>
                  <w:p>
                    <w:pPr>
                      <w:pStyle w:val="4"/>
                      <w:rPr>
                        <w:sz w:val="28"/>
                        <w:szCs w:val="28"/>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I0OWRhY2E3YmFiMzFmNTk4NzUwZmQ5YTAxYzYifQ=="/>
  </w:docVars>
  <w:rsids>
    <w:rsidRoot w:val="59936B39"/>
    <w:rsid w:val="07DF7820"/>
    <w:rsid w:val="0C9927BA"/>
    <w:rsid w:val="4AB42F1C"/>
    <w:rsid w:val="5993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2023-12-26T01:47:00Z</dcterms:created>
  <dc:creator>赵丽</dc:creator>
  <cp:lastModifiedBy>赵丽</cp:lastModifiedBy>
  <dcterms:modified xsi:type="dcterms:W3CDTF">2023-12-26T01:51:06Z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167F84EA6BA64E22AF68F19540BF32D3_13</vt:lpwstr>
  </property>
</Properties>
</file>