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7" w:lineRule="auto"/>
        <w:ind w:firstLine="552"/>
        <w:jc w:val="both"/>
        <w:rPr>
          <w:rFonts w:ascii="宋体" w:hAnsi="宋体" w:eastAsia="宋体" w:cs="宋体"/>
          <w:bCs/>
          <w:spacing w:val="-4"/>
          <w:sz w:val="28"/>
          <w:szCs w:val="28"/>
          <w:lang w:eastAsia="zh-CN"/>
        </w:rPr>
      </w:pPr>
      <w:r>
        <w:rPr>
          <w:rFonts w:hint="eastAsia" w:ascii="宋体" w:hAnsi="宋体" w:eastAsia="宋体" w:cs="宋体"/>
          <w:bCs/>
          <w:spacing w:val="-4"/>
          <w:sz w:val="28"/>
          <w:szCs w:val="28"/>
          <w:lang w:eastAsia="zh-CN"/>
        </w:rPr>
        <w:t>附件5</w:t>
      </w:r>
    </w:p>
    <w:p>
      <w:pPr>
        <w:spacing w:before="201" w:line="578" w:lineRule="exact"/>
        <w:jc w:val="center"/>
        <w:rPr>
          <w:rFonts w:ascii="Times New Roman" w:hAnsi="Times New Roman" w:eastAsia="Times New Roman" w:cs="Times New Roman"/>
          <w:b/>
          <w:bCs/>
          <w:spacing w:val="15"/>
          <w:position w:val="10"/>
          <w:sz w:val="42"/>
          <w:szCs w:val="42"/>
          <w:lang w:eastAsia="zh-CN"/>
        </w:rPr>
      </w:pPr>
    </w:p>
    <w:p>
      <w:pPr>
        <w:spacing w:before="201" w:line="578" w:lineRule="exact"/>
        <w:jc w:val="center"/>
        <w:rPr>
          <w:rFonts w:ascii="Times New Roman" w:hAnsi="Times New Roman" w:eastAsia="Times New Roman" w:cs="Times New Roman"/>
          <w:b/>
          <w:bCs/>
          <w:spacing w:val="15"/>
          <w:position w:val="10"/>
          <w:sz w:val="42"/>
          <w:szCs w:val="42"/>
          <w:lang w:eastAsia="zh-CN"/>
        </w:rPr>
      </w:pPr>
      <w:r>
        <w:rPr>
          <w:rFonts w:hint="eastAsia" w:ascii="Times New Roman" w:hAnsi="Times New Roman" w:eastAsia="Times New Roman" w:cs="Times New Roman"/>
          <w:b/>
          <w:bCs/>
          <w:spacing w:val="15"/>
          <w:position w:val="10"/>
          <w:sz w:val="42"/>
          <w:szCs w:val="42"/>
          <w:lang w:eastAsia="zh-CN"/>
        </w:rPr>
        <w:t>2022年度土地储备委员会办专项</w:t>
      </w:r>
      <w:r>
        <w:rPr>
          <w:rFonts w:ascii="Times New Roman" w:hAnsi="Times New Roman" w:eastAsia="Times New Roman" w:cs="Times New Roman"/>
          <w:b/>
          <w:bCs/>
          <w:spacing w:val="15"/>
          <w:position w:val="10"/>
          <w:sz w:val="42"/>
          <w:szCs w:val="42"/>
          <w:lang w:eastAsia="zh-CN"/>
        </w:rPr>
        <w:t>项目</w:t>
      </w:r>
    </w:p>
    <w:p>
      <w:pPr>
        <w:spacing w:before="201" w:line="578" w:lineRule="exact"/>
        <w:jc w:val="center"/>
        <w:rPr>
          <w:rFonts w:ascii="Times New Roman" w:hAnsi="Times New Roman" w:eastAsia="Times New Roman" w:cs="Times New Roman"/>
          <w:b/>
          <w:bCs/>
          <w:spacing w:val="15"/>
          <w:position w:val="10"/>
          <w:sz w:val="42"/>
          <w:szCs w:val="42"/>
        </w:rPr>
      </w:pPr>
      <w:r>
        <w:rPr>
          <w:rFonts w:ascii="Times New Roman" w:hAnsi="Times New Roman" w:eastAsia="Times New Roman" w:cs="Times New Roman"/>
          <w:b/>
          <w:bCs/>
          <w:spacing w:val="15"/>
          <w:position w:val="10"/>
          <w:sz w:val="42"/>
          <w:szCs w:val="42"/>
        </w:rPr>
        <w:t>支出绩效自评报告</w:t>
      </w:r>
    </w:p>
    <w:p>
      <w:pPr>
        <w:spacing w:before="201" w:line="578" w:lineRule="exact"/>
        <w:ind w:left="2169"/>
        <w:rPr>
          <w:rFonts w:ascii="Times New Roman" w:hAnsi="Times New Roman" w:eastAsia="Times New Roman" w:cs="Times New Roman"/>
          <w:spacing w:val="15"/>
          <w:position w:val="10"/>
          <w:sz w:val="42"/>
          <w:szCs w:val="42"/>
        </w:rPr>
      </w:pPr>
    </w:p>
    <w:p>
      <w:pPr>
        <w:spacing w:before="201" w:line="578" w:lineRule="exact"/>
        <w:ind w:left="2169"/>
        <w:rPr>
          <w:rFonts w:ascii="Times New Roman" w:hAnsi="Times New Roman" w:eastAsia="Times New Roman" w:cs="Times New Roman"/>
          <w:spacing w:val="15"/>
          <w:position w:val="10"/>
          <w:sz w:val="42"/>
          <w:szCs w:val="42"/>
        </w:rPr>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6"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pStyle w:val="2"/>
        <w:spacing w:before="89" w:line="221" w:lineRule="auto"/>
        <w:ind w:left="2270"/>
        <w:rPr>
          <w:sz w:val="27"/>
          <w:szCs w:val="27"/>
          <w:lang w:eastAsia="zh-CN"/>
        </w:rPr>
      </w:pPr>
      <w:r>
        <w:rPr>
          <w:spacing w:val="-22"/>
          <w:sz w:val="27"/>
          <w:szCs w:val="27"/>
          <w:lang w:eastAsia="zh-CN"/>
        </w:rPr>
        <w:t>部 门 ( 单位)名称：</w:t>
      </w:r>
      <w:r>
        <w:rPr>
          <w:rFonts w:hint="eastAsia"/>
          <w:spacing w:val="-22"/>
          <w:sz w:val="27"/>
          <w:szCs w:val="27"/>
          <w:u w:val="single"/>
          <w:lang w:eastAsia="zh-CN"/>
        </w:rPr>
        <w:t>汨罗市自然资源局</w:t>
      </w:r>
    </w:p>
    <w:p>
      <w:pPr>
        <w:pStyle w:val="2"/>
        <w:spacing w:before="289" w:line="610" w:lineRule="exact"/>
        <w:ind w:left="3490"/>
        <w:rPr>
          <w:sz w:val="27"/>
          <w:szCs w:val="27"/>
          <w:lang w:eastAsia="zh-CN"/>
        </w:rPr>
      </w:pPr>
      <w:r>
        <w:rPr>
          <w:rFonts w:hint="eastAsia"/>
          <w:spacing w:val="-13"/>
          <w:position w:val="26"/>
          <w:sz w:val="27"/>
          <w:szCs w:val="27"/>
          <w:lang w:eastAsia="zh-CN"/>
        </w:rPr>
        <w:t>202</w:t>
      </w:r>
      <w:r>
        <w:rPr>
          <w:rFonts w:hint="eastAsia"/>
          <w:spacing w:val="-13"/>
          <w:position w:val="26"/>
          <w:sz w:val="27"/>
          <w:szCs w:val="27"/>
          <w:lang w:val="en-US" w:eastAsia="zh-CN"/>
        </w:rPr>
        <w:t>3</w:t>
      </w:r>
      <w:r>
        <w:rPr>
          <w:spacing w:val="-13"/>
          <w:position w:val="26"/>
          <w:sz w:val="27"/>
          <w:szCs w:val="27"/>
          <w:lang w:eastAsia="zh-CN"/>
        </w:rPr>
        <w:t>年</w:t>
      </w:r>
      <w:r>
        <w:rPr>
          <w:rFonts w:hint="eastAsia"/>
          <w:spacing w:val="-13"/>
          <w:position w:val="26"/>
          <w:sz w:val="27"/>
          <w:szCs w:val="27"/>
          <w:lang w:eastAsia="zh-CN"/>
        </w:rPr>
        <w:t>6</w:t>
      </w:r>
      <w:r>
        <w:rPr>
          <w:spacing w:val="-13"/>
          <w:position w:val="26"/>
          <w:sz w:val="27"/>
          <w:szCs w:val="27"/>
          <w:lang w:eastAsia="zh-CN"/>
        </w:rPr>
        <w:t>月</w:t>
      </w:r>
      <w:r>
        <w:rPr>
          <w:rFonts w:hint="eastAsia"/>
          <w:spacing w:val="12"/>
          <w:position w:val="26"/>
          <w:sz w:val="27"/>
          <w:szCs w:val="27"/>
          <w:lang w:eastAsia="zh-CN"/>
        </w:rPr>
        <w:t>6</w:t>
      </w:r>
      <w:r>
        <w:rPr>
          <w:spacing w:val="-13"/>
          <w:position w:val="26"/>
          <w:sz w:val="27"/>
          <w:szCs w:val="27"/>
          <w:lang w:eastAsia="zh-CN"/>
        </w:rPr>
        <w:t>日</w:t>
      </w:r>
    </w:p>
    <w:p>
      <w:pPr>
        <w:pStyle w:val="2"/>
        <w:spacing w:before="1" w:line="223" w:lineRule="auto"/>
        <w:ind w:left="3560"/>
        <w:rPr>
          <w:sz w:val="24"/>
          <w:szCs w:val="24"/>
          <w:lang w:eastAsia="zh-CN"/>
        </w:rPr>
      </w:pPr>
      <w:r>
        <w:rPr>
          <w:spacing w:val="7"/>
          <w:sz w:val="24"/>
          <w:szCs w:val="24"/>
          <w:lang w:eastAsia="zh-CN"/>
        </w:rPr>
        <w:t>(此面为封面)</w:t>
      </w:r>
    </w:p>
    <w:p>
      <w:pPr>
        <w:spacing w:line="223" w:lineRule="auto"/>
        <w:rPr>
          <w:sz w:val="24"/>
          <w:szCs w:val="24"/>
          <w:lang w:eastAsia="zh-CN"/>
        </w:rPr>
        <w:sectPr>
          <w:footerReference r:id="rId3" w:type="default"/>
          <w:pgSz w:w="11900" w:h="16820"/>
          <w:pgMar w:top="1429" w:right="1782" w:bottom="1158" w:left="1450" w:header="0" w:footer="850" w:gutter="0"/>
          <w:cols w:space="720" w:num="1"/>
        </w:sectPr>
      </w:pPr>
    </w:p>
    <w:p>
      <w:pPr>
        <w:spacing w:before="137" w:line="221" w:lineRule="auto"/>
        <w:ind w:left="2336"/>
        <w:rPr>
          <w:rFonts w:ascii="黑体" w:hAnsi="黑体" w:eastAsia="黑体" w:cs="黑体"/>
          <w:sz w:val="42"/>
          <w:szCs w:val="42"/>
          <w:lang w:eastAsia="zh-CN"/>
        </w:rPr>
      </w:pPr>
      <w:r>
        <w:rPr>
          <w:rFonts w:ascii="黑体" w:hAnsi="黑体" w:eastAsia="黑体" w:cs="黑体"/>
          <w:b/>
          <w:bCs/>
          <w:spacing w:val="6"/>
          <w:sz w:val="42"/>
          <w:szCs w:val="42"/>
          <w:lang w:eastAsia="zh-CN"/>
        </w:rPr>
        <w:t>项目支出绩效评价报告</w:t>
      </w:r>
    </w:p>
    <w:p>
      <w:pPr>
        <w:spacing w:line="560" w:lineRule="exact"/>
        <w:ind w:firstLine="562" w:firstLineChars="200"/>
        <w:outlineLvl w:val="0"/>
        <w:rPr>
          <w:rFonts w:ascii="黑体" w:hAnsi="黑体" w:eastAsia="黑体" w:cs="黑体"/>
          <w:sz w:val="31"/>
          <w:szCs w:val="31"/>
        </w:rPr>
      </w:pPr>
      <w:r>
        <w:rPr>
          <w:rFonts w:ascii="黑体" w:hAnsi="黑体" w:eastAsia="黑体" w:cs="黑体"/>
          <w:b/>
          <w:bCs/>
          <w:spacing w:val="-15"/>
          <w:sz w:val="31"/>
          <w:szCs w:val="31"/>
        </w:rPr>
        <w:t>一、项目支出基本情况</w:t>
      </w:r>
    </w:p>
    <w:p>
      <w:pPr>
        <w:numPr>
          <w:ilvl w:val="0"/>
          <w:numId w:val="1"/>
        </w:numPr>
        <w:spacing w:line="560" w:lineRule="exact"/>
        <w:ind w:firstLine="562" w:firstLineChars="200"/>
        <w:jc w:val="both"/>
        <w:rPr>
          <w:rFonts w:ascii="黑体" w:hAnsi="黑体" w:eastAsia="黑体" w:cs="黑体"/>
          <w:b/>
          <w:bCs/>
          <w:spacing w:val="-15"/>
          <w:sz w:val="31"/>
          <w:szCs w:val="31"/>
        </w:rPr>
      </w:pPr>
      <w:r>
        <w:rPr>
          <w:rFonts w:ascii="黑体" w:hAnsi="黑体" w:eastAsia="黑体" w:cs="黑体"/>
          <w:b/>
          <w:bCs/>
          <w:spacing w:val="-15"/>
          <w:sz w:val="31"/>
          <w:szCs w:val="31"/>
        </w:rPr>
        <w:t>项目支出概况。</w:t>
      </w:r>
    </w:p>
    <w:p>
      <w:pPr>
        <w:spacing w:line="56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根据【2020】年第3次汨罗市人民政府市长办公室会议纪要精神，成立土地储备委员会并设立土地储备委员会办公室牵头负责土地收储工作，同时安排土地储备工作经费，用于现场踏勘、办公经费以及租车等其他费用，便于推动储备工作全面规范、有序、高效的开展。</w:t>
      </w:r>
    </w:p>
    <w:p>
      <w:pPr>
        <w:numPr>
          <w:ilvl w:val="0"/>
          <w:numId w:val="1"/>
        </w:numPr>
        <w:spacing w:line="560" w:lineRule="exact"/>
        <w:ind w:firstLine="562" w:firstLineChars="200"/>
        <w:jc w:val="both"/>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项目资金使用管理情况。</w:t>
      </w:r>
    </w:p>
    <w:p>
      <w:pPr>
        <w:spacing w:line="56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汨罗市土地储备中心高度重视部门绩效管理工作，制定和完善了有关规章制度，依据《汨罗市财政局预算绩效管理暂行办法》要求，严格按照项目资金管理有关规定推进部门绩效，确保部门绩效目标实现。采取的措施有：完善相关制度、加强监督检查。</w:t>
      </w:r>
    </w:p>
    <w:p>
      <w:pPr>
        <w:pStyle w:val="2"/>
        <w:numPr>
          <w:ilvl w:val="0"/>
          <w:numId w:val="1"/>
        </w:numPr>
        <w:spacing w:line="560" w:lineRule="exact"/>
        <w:ind w:firstLine="562" w:firstLineChars="200"/>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项目支出绩效目标完成程度</w:t>
      </w:r>
    </w:p>
    <w:p>
      <w:pPr>
        <w:spacing w:line="56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编制完成汨罗市202</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年度土地储备和供应计划，并通过主管单位审查。</w:t>
      </w:r>
    </w:p>
    <w:p>
      <w:pPr>
        <w:numPr>
          <w:ilvl w:val="0"/>
          <w:numId w:val="2"/>
        </w:numPr>
        <w:spacing w:line="560" w:lineRule="exact"/>
        <w:ind w:firstLine="562" w:firstLineChars="200"/>
        <w:outlineLvl w:val="0"/>
        <w:rPr>
          <w:rFonts w:ascii="黑体" w:hAnsi="黑体" w:eastAsia="黑体" w:cs="黑体"/>
          <w:b/>
          <w:bCs/>
          <w:spacing w:val="-15"/>
          <w:sz w:val="31"/>
          <w:szCs w:val="31"/>
          <w:lang w:eastAsia="zh-CN"/>
        </w:rPr>
      </w:pPr>
      <w:r>
        <w:rPr>
          <w:rFonts w:ascii="黑体" w:hAnsi="黑体" w:eastAsia="黑体" w:cs="黑体"/>
          <w:b/>
          <w:bCs/>
          <w:spacing w:val="-15"/>
          <w:sz w:val="31"/>
          <w:szCs w:val="31"/>
        </w:rPr>
        <w:t>绩效评价工作情况</w:t>
      </w:r>
    </w:p>
    <w:p>
      <w:pPr>
        <w:spacing w:line="560" w:lineRule="exact"/>
        <w:ind w:firstLine="640" w:firstLineChars="200"/>
        <w:outlineLvl w:val="0"/>
        <w:rPr>
          <w:rFonts w:ascii="黑体" w:hAnsi="黑体" w:eastAsia="黑体" w:cs="黑体"/>
          <w:b/>
          <w:bCs/>
          <w:spacing w:val="-15"/>
          <w:sz w:val="31"/>
          <w:szCs w:val="31"/>
          <w:lang w:eastAsia="zh-CN"/>
        </w:rPr>
      </w:pPr>
      <w:r>
        <w:rPr>
          <w:rFonts w:hint="eastAsia" w:ascii="仿宋" w:hAnsi="仿宋" w:eastAsia="仿宋" w:cs="仿宋"/>
          <w:sz w:val="32"/>
          <w:szCs w:val="32"/>
          <w:lang w:eastAsia="zh-CN"/>
        </w:rPr>
        <w:t>本次绩效评价遵循科学规范、公开公正、绩效相关的原则，重点评价项目决策的项目目标、决策过程、资金分配，项目管理的资金到位、资金管理、组织实施，项目绩效的项目产出、项目效果等三方面。</w:t>
      </w:r>
    </w:p>
    <w:p>
      <w:pPr>
        <w:spacing w:line="560" w:lineRule="exact"/>
        <w:ind w:firstLine="562" w:firstLineChars="200"/>
        <w:outlineLvl w:val="0"/>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三 、项目支出主要绩效及评价结论</w:t>
      </w:r>
    </w:p>
    <w:p>
      <w:pPr>
        <w:spacing w:line="560" w:lineRule="exact"/>
        <w:ind w:firstLine="640" w:firstLineChars="200"/>
        <w:outlineLvl w:val="0"/>
        <w:rPr>
          <w:rFonts w:ascii="仿宋" w:hAnsi="仿宋" w:eastAsia="仿宋" w:cs="仿宋"/>
          <w:sz w:val="32"/>
          <w:szCs w:val="32"/>
          <w:lang w:eastAsia="zh-CN"/>
        </w:rPr>
      </w:pPr>
      <w:r>
        <w:rPr>
          <w:rFonts w:hint="eastAsia" w:ascii="仿宋" w:hAnsi="仿宋" w:eastAsia="仿宋" w:cs="仿宋"/>
          <w:sz w:val="32"/>
          <w:szCs w:val="32"/>
          <w:lang w:eastAsia="zh-CN"/>
        </w:rPr>
        <w:t>高效完成土地报批、征地等各项工作，综合得出2022年度土地储备委员会办专项项目绩效评价综合得分</w:t>
      </w:r>
      <w:r>
        <w:rPr>
          <w:rFonts w:hint="eastAsia" w:ascii="仿宋" w:hAnsi="仿宋" w:eastAsia="仿宋" w:cs="仿宋"/>
          <w:sz w:val="32"/>
          <w:szCs w:val="32"/>
          <w:lang w:val="en-US" w:eastAsia="zh-CN"/>
        </w:rPr>
        <w:t>100</w:t>
      </w:r>
      <w:r>
        <w:rPr>
          <w:rFonts w:hint="eastAsia" w:ascii="仿宋" w:hAnsi="仿宋" w:eastAsia="仿宋" w:cs="仿宋"/>
          <w:sz w:val="32"/>
          <w:szCs w:val="32"/>
          <w:lang w:eastAsia="zh-CN"/>
        </w:rPr>
        <w:t>分，等级为“A级”。</w:t>
      </w:r>
    </w:p>
    <w:p>
      <w:pPr>
        <w:numPr>
          <w:ilvl w:val="0"/>
          <w:numId w:val="3"/>
        </w:numPr>
        <w:spacing w:line="560" w:lineRule="exact"/>
        <w:ind w:firstLine="562" w:firstLineChars="200"/>
        <w:outlineLvl w:val="0"/>
        <w:rPr>
          <w:rFonts w:ascii="黑体" w:hAnsi="黑体" w:eastAsia="黑体" w:cs="黑体"/>
          <w:b/>
          <w:bCs/>
          <w:spacing w:val="-15"/>
          <w:sz w:val="31"/>
          <w:szCs w:val="31"/>
        </w:rPr>
      </w:pPr>
      <w:r>
        <w:rPr>
          <w:rFonts w:ascii="黑体" w:hAnsi="黑体" w:eastAsia="黑体" w:cs="黑体"/>
          <w:b/>
          <w:bCs/>
          <w:spacing w:val="-15"/>
          <w:sz w:val="31"/>
          <w:szCs w:val="31"/>
        </w:rPr>
        <w:t>绩效评价指标分析</w:t>
      </w:r>
    </w:p>
    <w:p>
      <w:pPr>
        <w:widowControl w:val="0"/>
        <w:kinsoku/>
        <w:autoSpaceDE/>
        <w:autoSpaceDN/>
        <w:adjustRightInd/>
        <w:spacing w:line="600" w:lineRule="exact"/>
        <w:ind w:firstLine="640" w:firstLineChars="200"/>
        <w:jc w:val="both"/>
        <w:textAlignment w:val="auto"/>
        <w:rPr>
          <w:rFonts w:ascii="仿宋" w:hAnsi="仿宋" w:eastAsia="仿宋"/>
          <w:sz w:val="32"/>
          <w:szCs w:val="32"/>
          <w:lang w:eastAsia="zh-CN"/>
        </w:rPr>
      </w:pPr>
      <w:r>
        <w:rPr>
          <w:rFonts w:hint="eastAsia" w:ascii="仿宋" w:hAnsi="仿宋" w:eastAsia="仿宋"/>
          <w:sz w:val="32"/>
          <w:szCs w:val="32"/>
          <w:lang w:eastAsia="zh-CN"/>
        </w:rPr>
        <w:t>1、按照省市储备与供应计划编制以供定储的新要求，认真抓落实，组织相关部门单位、平台公司、园区、技术人员认真</w:t>
      </w:r>
      <w:r>
        <w:rPr>
          <w:rFonts w:hint="eastAsia" w:ascii="仿宋" w:hAnsi="仿宋" w:eastAsia="仿宋" w:cs="仿宋"/>
          <w:sz w:val="32"/>
          <w:szCs w:val="32"/>
          <w:lang w:eastAsia="zh-CN"/>
        </w:rPr>
        <w:t>编制了</w:t>
      </w:r>
      <w:r>
        <w:rPr>
          <w:rFonts w:hint="eastAsia" w:ascii="仿宋" w:hAnsi="仿宋" w:eastAsia="仿宋"/>
          <w:sz w:val="32"/>
          <w:szCs w:val="32"/>
          <w:lang w:eastAsia="zh-CN"/>
        </w:rPr>
        <w:t>《汨罗市2022年度土地储备和供应计划》，对照计划开展土地储备工作。</w:t>
      </w:r>
    </w:p>
    <w:p>
      <w:pPr>
        <w:widowControl w:val="0"/>
        <w:kinsoku/>
        <w:autoSpaceDE/>
        <w:autoSpaceDN/>
        <w:spacing w:line="600" w:lineRule="exact"/>
        <w:ind w:firstLine="640" w:firstLineChars="200"/>
        <w:jc w:val="both"/>
        <w:textAlignment w:val="auto"/>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2、全年共计完成土地收储入库38宗，面积91.209公顷（约1368.135亩），其中新增建设用地24宗，面积</w:t>
      </w:r>
      <w:r>
        <w:rPr>
          <w:rFonts w:hint="eastAsia" w:ascii="仿宋" w:hAnsi="仿宋" w:eastAsia="仿宋" w:cs="仿宋"/>
          <w:sz w:val="32"/>
          <w:szCs w:val="32"/>
          <w:lang w:eastAsia="zh-CN"/>
        </w:rPr>
        <w:t>77.1794</w:t>
      </w:r>
      <w:r>
        <w:rPr>
          <w:rFonts w:hint="eastAsia" w:ascii="仿宋" w:hAnsi="仿宋" w:eastAsia="仿宋" w:cs="仿宋"/>
          <w:color w:val="auto"/>
          <w:sz w:val="32"/>
          <w:szCs w:val="32"/>
          <w:lang w:eastAsia="zh-CN"/>
        </w:rPr>
        <w:t>公顷（约1157.69亩）；存量建设用地14宗，面积14.0296公顷（约210.44亩）。已启动拟收储</w:t>
      </w:r>
      <w:r>
        <w:rPr>
          <w:rFonts w:hint="eastAsia" w:ascii="仿宋" w:hAnsi="仿宋" w:eastAsia="仿宋" w:cs="仿宋"/>
          <w:sz w:val="32"/>
          <w:szCs w:val="32"/>
          <w:lang w:eastAsia="zh-CN"/>
        </w:rPr>
        <w:t>新增</w:t>
      </w:r>
      <w:r>
        <w:rPr>
          <w:rFonts w:hint="eastAsia" w:ascii="仿宋" w:hAnsi="仿宋" w:eastAsia="仿宋" w:cs="仿宋"/>
          <w:color w:val="auto"/>
          <w:sz w:val="32"/>
          <w:szCs w:val="32"/>
          <w:lang w:eastAsia="zh-CN"/>
        </w:rPr>
        <w:t>建设用地</w:t>
      </w:r>
      <w:r>
        <w:rPr>
          <w:rFonts w:hint="eastAsia" w:ascii="仿宋" w:hAnsi="仿宋" w:eastAsia="仿宋" w:cs="仿宋"/>
          <w:sz w:val="32"/>
          <w:szCs w:val="32"/>
          <w:lang w:eastAsia="zh-CN"/>
        </w:rPr>
        <w:t>26宗，面积25.8125公顷</w:t>
      </w:r>
      <w:r>
        <w:rPr>
          <w:rFonts w:hint="eastAsia" w:ascii="仿宋" w:hAnsi="仿宋" w:eastAsia="仿宋" w:cs="仿宋"/>
          <w:color w:val="auto"/>
          <w:sz w:val="32"/>
          <w:szCs w:val="32"/>
          <w:lang w:eastAsia="zh-CN"/>
        </w:rPr>
        <w:t>（约378.2亩）。</w:t>
      </w:r>
    </w:p>
    <w:p>
      <w:pPr>
        <w:kinsoku/>
        <w:autoSpaceDE/>
        <w:autoSpaceDN/>
        <w:spacing w:line="600" w:lineRule="exact"/>
        <w:ind w:firstLine="640" w:firstLineChars="200"/>
        <w:jc w:val="both"/>
        <w:textAlignment w:val="auto"/>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3、全年共完成土地供应58宗，面积98.4988公顷（约1477.48亩），其中新增建设用地47宗，面积88.544公顷，（约1328.12亩）；存量建设用地11宗，面积9.9548公顷（约149.322亩）。</w:t>
      </w:r>
    </w:p>
    <w:p>
      <w:pPr>
        <w:widowControl w:val="0"/>
        <w:kinsoku/>
        <w:autoSpaceDE/>
        <w:autoSpaceDN/>
        <w:spacing w:line="600" w:lineRule="exact"/>
        <w:ind w:firstLine="640" w:firstLineChars="200"/>
        <w:jc w:val="both"/>
        <w:textAlignment w:val="auto"/>
        <w:rPr>
          <w:rFonts w:ascii="仿宋" w:hAnsi="仿宋" w:eastAsia="仿宋" w:cs="仿宋"/>
          <w:sz w:val="32"/>
          <w:szCs w:val="32"/>
          <w:lang w:eastAsia="zh-CN"/>
        </w:rPr>
      </w:pPr>
      <w:r>
        <w:rPr>
          <w:rFonts w:hint="eastAsia" w:ascii="仿宋" w:hAnsi="仿宋" w:eastAsia="仿宋" w:cs="仿宋"/>
          <w:sz w:val="32"/>
          <w:szCs w:val="32"/>
          <w:lang w:eastAsia="zh-CN"/>
        </w:rPr>
        <w:t>4、截至目前已收取了耕地占补平衡指标转让费748万元，欠308.2万元还未交纳，共计1056.2万元。</w:t>
      </w:r>
    </w:p>
    <w:p>
      <w:pPr>
        <w:widowControl w:val="0"/>
        <w:kinsoku/>
        <w:autoSpaceDE/>
        <w:autoSpaceDN/>
        <w:spacing w:line="600" w:lineRule="exact"/>
        <w:ind w:firstLine="640" w:firstLineChars="200"/>
        <w:jc w:val="both"/>
        <w:textAlignment w:val="auto"/>
        <w:rPr>
          <w:rFonts w:ascii="仿宋" w:hAnsi="仿宋" w:eastAsia="仿宋" w:cs="仿宋"/>
          <w:sz w:val="32"/>
          <w:szCs w:val="32"/>
          <w:lang w:eastAsia="zh-CN"/>
        </w:rPr>
      </w:pPr>
      <w:r>
        <w:rPr>
          <w:rFonts w:hint="eastAsia" w:ascii="仿宋" w:hAnsi="仿宋" w:eastAsia="仿宋" w:cs="仿宋"/>
          <w:sz w:val="32"/>
          <w:szCs w:val="32"/>
          <w:lang w:eastAsia="zh-CN"/>
        </w:rPr>
        <w:t>5、完成全民所有土地资产管理信息系统2020年至202</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年土地储备计划的录入。</w:t>
      </w:r>
    </w:p>
    <w:p>
      <w:pPr>
        <w:spacing w:line="560" w:lineRule="exact"/>
        <w:ind w:firstLine="640" w:firstLineChars="200"/>
        <w:outlineLvl w:val="0"/>
        <w:rPr>
          <w:rFonts w:ascii="黑体" w:hAnsi="黑体" w:eastAsia="黑体" w:cs="黑体"/>
          <w:b/>
          <w:bCs/>
          <w:spacing w:val="-15"/>
          <w:sz w:val="31"/>
          <w:szCs w:val="31"/>
          <w:lang w:eastAsia="zh-CN"/>
        </w:rPr>
      </w:pPr>
      <w:r>
        <w:rPr>
          <w:rFonts w:hint="eastAsia" w:ascii="仿宋" w:hAnsi="仿宋" w:eastAsia="仿宋" w:cs="仿宋"/>
          <w:sz w:val="32"/>
          <w:szCs w:val="32"/>
          <w:lang w:eastAsia="zh-CN"/>
        </w:rPr>
        <w:t>6、对接市环保局完成202</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年“一住两公”项目用地土壤污染调查工作，对长乐法庭等七个项目完成土壤污染调查；配合做好4个优先监管地块管控措施相关工作。</w:t>
      </w:r>
    </w:p>
    <w:p>
      <w:pPr>
        <w:spacing w:line="560" w:lineRule="exact"/>
        <w:ind w:firstLine="562" w:firstLineChars="200"/>
        <w:outlineLvl w:val="0"/>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五、主要经验及做法、存在的问题及原因分析</w:t>
      </w:r>
    </w:p>
    <w:p>
      <w:pPr>
        <w:widowControl w:val="0"/>
        <w:kinsoku/>
        <w:autoSpaceDE/>
        <w:autoSpaceDN/>
        <w:adjustRightInd/>
        <w:snapToGrid/>
        <w:spacing w:line="600" w:lineRule="exact"/>
        <w:ind w:firstLine="640" w:firstLineChars="200"/>
        <w:jc w:val="both"/>
        <w:textAlignment w:val="auto"/>
        <w:rPr>
          <w:rFonts w:ascii="仿宋" w:hAnsi="仿宋" w:eastAsia="仿宋" w:cs="仿宋"/>
          <w:b/>
          <w:bCs/>
          <w:sz w:val="32"/>
          <w:szCs w:val="32"/>
          <w:lang w:eastAsia="zh-CN"/>
        </w:rPr>
      </w:pPr>
      <w:r>
        <w:rPr>
          <w:rFonts w:hint="eastAsia" w:ascii="仿宋" w:hAnsi="仿宋" w:eastAsia="仿宋" w:cs="仿宋"/>
          <w:sz w:val="32"/>
          <w:szCs w:val="32"/>
          <w:lang w:eastAsia="zh-CN"/>
        </w:rPr>
        <w:t>1、将项目进度上墙，随时关注项目进展情况，做到每周一调度、每月一总结，针对于有问题的项目，中心负责收集问题、归纳问题，然后上报至分管领导，由分管领导召集召开专题会议，解决难点、痛点。确保计划编制内的项目应报尽报、应供尽供。</w:t>
      </w:r>
    </w:p>
    <w:p>
      <w:pPr>
        <w:widowControl w:val="0"/>
        <w:kinsoku/>
        <w:autoSpaceDE/>
        <w:autoSpaceDN/>
        <w:spacing w:line="600" w:lineRule="exact"/>
        <w:ind w:firstLine="640" w:firstLineChars="200"/>
        <w:jc w:val="both"/>
        <w:textAlignment w:val="auto"/>
        <w:rPr>
          <w:rFonts w:ascii="仿宋" w:hAnsi="仿宋" w:eastAsia="仿宋" w:cs="仿宋"/>
          <w:sz w:val="32"/>
          <w:szCs w:val="32"/>
          <w:lang w:eastAsia="zh-CN"/>
        </w:rPr>
      </w:pPr>
      <w:r>
        <w:rPr>
          <w:rFonts w:hint="eastAsia" w:ascii="仿宋" w:hAnsi="仿宋" w:eastAsia="仿宋" w:cs="仿宋"/>
          <w:sz w:val="32"/>
          <w:szCs w:val="32"/>
          <w:lang w:eastAsia="zh-CN"/>
        </w:rPr>
        <w:t>2、我中心将市重点项目分配至个人，专人专项、加强沟通、有效对接、定时调度，团结协作确保重点工程顺利落地；如S313桃白线、壹志学校、公安局执法办案中心、岳阳现代服务职业技术学院至G107连接公路、长乐法庭等项目；</w:t>
      </w:r>
    </w:p>
    <w:p>
      <w:pPr>
        <w:widowControl w:val="0"/>
        <w:kinsoku/>
        <w:autoSpaceDE/>
        <w:autoSpaceDN/>
        <w:spacing w:line="600" w:lineRule="exact"/>
        <w:ind w:firstLine="640" w:firstLineChars="200"/>
        <w:jc w:val="both"/>
        <w:textAlignment w:val="auto"/>
        <w:rPr>
          <w:rFonts w:ascii="仿宋" w:hAnsi="仿宋" w:eastAsia="仿宋" w:cs="仿宋"/>
          <w:sz w:val="32"/>
          <w:szCs w:val="32"/>
          <w:lang w:eastAsia="zh-CN"/>
        </w:rPr>
      </w:pPr>
      <w:r>
        <w:rPr>
          <w:rFonts w:hint="eastAsia" w:ascii="仿宋" w:hAnsi="仿宋" w:eastAsia="仿宋" w:cs="仿宋"/>
          <w:sz w:val="32"/>
          <w:szCs w:val="32"/>
          <w:lang w:eastAsia="zh-CN"/>
        </w:rPr>
        <w:t>3、对未批先用，已形成图斑的项目，我中心主动上门对接，加班加点督促用地单位积极配合准备、完善相关资料，及时有效的消除图斑，保障我局评先评优；如西湖公园游泳池、新市镇莲花路、桃林寺镇江北大道、老干活动中心、信访路、端午人家连接道路等项目；</w:t>
      </w:r>
    </w:p>
    <w:p>
      <w:pPr>
        <w:widowControl w:val="0"/>
        <w:kinsoku/>
        <w:autoSpaceDE/>
        <w:autoSpaceDN/>
        <w:spacing w:line="600" w:lineRule="exact"/>
        <w:ind w:firstLine="640" w:firstLineChars="200"/>
        <w:jc w:val="both"/>
        <w:textAlignment w:val="auto"/>
        <w:rPr>
          <w:rFonts w:ascii="仿宋" w:hAnsi="仿宋" w:eastAsia="仿宋" w:cs="仿宋"/>
          <w:sz w:val="32"/>
          <w:szCs w:val="32"/>
          <w:lang w:eastAsia="zh-CN"/>
        </w:rPr>
      </w:pPr>
      <w:r>
        <w:rPr>
          <w:rFonts w:hint="eastAsia" w:ascii="仿宋" w:hAnsi="仿宋" w:eastAsia="仿宋" w:cs="仿宋"/>
          <w:sz w:val="32"/>
          <w:szCs w:val="32"/>
          <w:lang w:eastAsia="zh-CN"/>
        </w:rPr>
        <w:t>4、加大土地资源整合，加强与财政局、乡镇及平台公司等部门紧密配合，有效盘活存量、闲置土地，对归义镇原双塘砖厂、原市幼儿园、原市机械厂、市托育中心、飞地园电力检修工区等土地处置，为财政创造两千多万元收益。</w:t>
      </w:r>
    </w:p>
    <w:p>
      <w:pPr>
        <w:widowControl w:val="0"/>
        <w:kinsoku/>
        <w:autoSpaceDE/>
        <w:autoSpaceDN/>
        <w:spacing w:line="600" w:lineRule="exact"/>
        <w:ind w:firstLine="640" w:firstLineChars="200"/>
        <w:jc w:val="both"/>
        <w:textAlignment w:val="auto"/>
        <w:rPr>
          <w:rFonts w:ascii="仿宋" w:hAnsi="仿宋" w:eastAsia="仿宋" w:cs="仿宋"/>
          <w:kern w:val="2"/>
          <w:sz w:val="32"/>
          <w:szCs w:val="32"/>
          <w:lang w:eastAsia="zh-CN"/>
        </w:rPr>
      </w:pPr>
      <w:r>
        <w:rPr>
          <w:rFonts w:hint="eastAsia" w:ascii="仿宋" w:hAnsi="仿宋" w:eastAsia="仿宋" w:cs="仿宋"/>
          <w:sz w:val="32"/>
          <w:szCs w:val="32"/>
          <w:lang w:eastAsia="zh-CN"/>
        </w:rPr>
        <w:t>5、为保证高标准完成2022年度真抓实干督查激励工作，我中心多次与省、市及技术单位对接，及时有效的修改、完善相关数据，配合权益股、开发利用股做好供地率和土地供应计划的调整。</w:t>
      </w:r>
    </w:p>
    <w:p>
      <w:pPr>
        <w:widowControl w:val="0"/>
        <w:kinsoku/>
        <w:autoSpaceDE/>
        <w:autoSpaceDN/>
        <w:spacing w:line="600" w:lineRule="exact"/>
        <w:ind w:firstLine="640" w:firstLineChars="200"/>
        <w:jc w:val="both"/>
        <w:textAlignment w:val="auto"/>
        <w:rPr>
          <w:rFonts w:ascii="仿宋" w:hAnsi="仿宋" w:eastAsia="仿宋" w:cs="仿宋"/>
          <w:sz w:val="32"/>
          <w:szCs w:val="32"/>
          <w:lang w:eastAsia="zh-CN"/>
        </w:rPr>
      </w:pPr>
      <w:r>
        <w:rPr>
          <w:rFonts w:hint="eastAsia" w:ascii="仿宋" w:hAnsi="仿宋" w:eastAsia="仿宋" w:cs="仿宋"/>
          <w:kern w:val="2"/>
          <w:sz w:val="32"/>
          <w:szCs w:val="32"/>
          <w:lang w:eastAsia="zh-CN"/>
        </w:rPr>
        <w:t>6、牵头组织完成202</w:t>
      </w:r>
      <w:r>
        <w:rPr>
          <w:rFonts w:hint="eastAsia" w:ascii="仿宋" w:hAnsi="仿宋" w:eastAsia="仿宋" w:cs="仿宋"/>
          <w:kern w:val="2"/>
          <w:sz w:val="32"/>
          <w:szCs w:val="32"/>
          <w:lang w:val="en-US" w:eastAsia="zh-CN"/>
        </w:rPr>
        <w:t>2</w:t>
      </w:r>
      <w:bookmarkStart w:id="0" w:name="_GoBack"/>
      <w:bookmarkEnd w:id="0"/>
      <w:r>
        <w:rPr>
          <w:rFonts w:hint="eastAsia" w:ascii="仿宋" w:hAnsi="仿宋" w:eastAsia="仿宋" w:cs="仿宋"/>
          <w:kern w:val="2"/>
          <w:sz w:val="32"/>
          <w:szCs w:val="32"/>
          <w:lang w:eastAsia="zh-CN"/>
        </w:rPr>
        <w:t>年汨罗城区优质土地招商推介的资料汇编及制作。我中心在临时接到任务后，在时间紧，任务重，技术单位力量薄弱的前提下，中心几乎天天加班加点，多次与平台公司、技术单位、市里领导进行探讨、修改，最终成果得到市领导高度认可与表扬。</w:t>
      </w:r>
    </w:p>
    <w:p>
      <w:pPr>
        <w:spacing w:line="560" w:lineRule="exact"/>
        <w:ind w:firstLine="562" w:firstLineChars="200"/>
        <w:outlineLvl w:val="0"/>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六、有关建议</w:t>
      </w:r>
    </w:p>
    <w:p>
      <w:pPr>
        <w:spacing w:line="560" w:lineRule="exact"/>
        <w:ind w:firstLine="960" w:firstLineChars="300"/>
        <w:outlineLvl w:val="0"/>
        <w:rPr>
          <w:rFonts w:ascii="仿宋" w:hAnsi="仿宋" w:eastAsia="仿宋" w:cs="仿宋"/>
          <w:kern w:val="2"/>
          <w:sz w:val="32"/>
          <w:szCs w:val="32"/>
          <w:lang w:eastAsia="zh-CN"/>
        </w:rPr>
      </w:pPr>
      <w:r>
        <w:rPr>
          <w:rFonts w:hint="eastAsia" w:ascii="仿宋" w:hAnsi="仿宋" w:eastAsia="仿宋" w:cs="仿宋"/>
          <w:kern w:val="2"/>
          <w:sz w:val="32"/>
          <w:szCs w:val="32"/>
          <w:lang w:eastAsia="zh-CN"/>
        </w:rPr>
        <w:t>无</w:t>
      </w:r>
    </w:p>
    <w:p>
      <w:pPr>
        <w:spacing w:line="560" w:lineRule="exact"/>
        <w:ind w:firstLine="562" w:firstLineChars="200"/>
        <w:outlineLvl w:val="0"/>
        <w:rPr>
          <w:rFonts w:eastAsia="仿宋_GB2312"/>
          <w:sz w:val="32"/>
          <w:szCs w:val="32"/>
          <w:lang w:eastAsia="zh-CN"/>
        </w:rPr>
      </w:pPr>
      <w:r>
        <w:rPr>
          <w:rFonts w:ascii="黑体" w:hAnsi="黑体" w:eastAsia="黑体" w:cs="黑体"/>
          <w:b/>
          <w:bCs/>
          <w:spacing w:val="-15"/>
          <w:sz w:val="31"/>
          <w:szCs w:val="31"/>
          <w:lang w:eastAsia="zh-CN"/>
        </w:rPr>
        <w:t>七、其他需要说明的问题</w:t>
      </w:r>
    </w:p>
    <w:p>
      <w:pPr>
        <w:spacing w:line="560" w:lineRule="exact"/>
        <w:ind w:firstLine="960" w:firstLineChars="300"/>
        <w:outlineLvl w:val="0"/>
        <w:rPr>
          <w:rFonts w:ascii="黑体" w:hAnsi="黑体" w:eastAsia="黑体" w:cs="黑体"/>
          <w:b/>
          <w:bCs/>
          <w:spacing w:val="-15"/>
          <w:sz w:val="31"/>
          <w:szCs w:val="31"/>
          <w:lang w:eastAsia="zh-CN"/>
        </w:rPr>
      </w:pPr>
      <w:r>
        <w:rPr>
          <w:rFonts w:hint="eastAsia" w:ascii="仿宋" w:hAnsi="仿宋" w:eastAsia="仿宋" w:cs="仿宋"/>
          <w:kern w:val="2"/>
          <w:sz w:val="32"/>
          <w:szCs w:val="32"/>
          <w:lang w:eastAsia="zh-CN"/>
        </w:rPr>
        <w:t>无</w:t>
      </w:r>
    </w:p>
    <w:sectPr>
      <w:footerReference r:id="rId4" w:type="default"/>
      <w:pgSz w:w="11900" w:h="16820"/>
      <w:pgMar w:top="1755" w:right="1227" w:bottom="1485" w:left="1011" w:header="0" w:footer="91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jc w:val="right"/>
      <w:rPr>
        <w:rFonts w:ascii="宋体" w:hAnsi="宋体" w:eastAsia="宋体" w:cs="宋体"/>
        <w:sz w:val="31"/>
        <w:szCs w:val="3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8F112"/>
    <w:multiLevelType w:val="singleLevel"/>
    <w:tmpl w:val="B768F112"/>
    <w:lvl w:ilvl="0" w:tentative="0">
      <w:start w:val="2"/>
      <w:numFmt w:val="chineseCounting"/>
      <w:suff w:val="nothing"/>
      <w:lvlText w:val="%1、"/>
      <w:lvlJc w:val="left"/>
      <w:rPr>
        <w:rFonts w:hint="eastAsia"/>
      </w:rPr>
    </w:lvl>
  </w:abstractNum>
  <w:abstractNum w:abstractNumId="1">
    <w:nsid w:val="FFDE618F"/>
    <w:multiLevelType w:val="singleLevel"/>
    <w:tmpl w:val="FFDE618F"/>
    <w:lvl w:ilvl="0" w:tentative="0">
      <w:start w:val="1"/>
      <w:numFmt w:val="chineseCounting"/>
      <w:lvlText w:val="(%1)"/>
      <w:lvlJc w:val="left"/>
      <w:pPr>
        <w:tabs>
          <w:tab w:val="left" w:pos="312"/>
        </w:tabs>
      </w:pPr>
      <w:rPr>
        <w:rFonts w:hint="eastAsia"/>
      </w:rPr>
    </w:lvl>
  </w:abstractNum>
  <w:abstractNum w:abstractNumId="2">
    <w:nsid w:val="36022267"/>
    <w:multiLevelType w:val="singleLevel"/>
    <w:tmpl w:val="36022267"/>
    <w:lvl w:ilvl="0" w:tentative="0">
      <w:start w:val="4"/>
      <w:numFmt w:val="chineseCounting"/>
      <w:suff w:val="space"/>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U0ZmZlZTEyYzZiODMwNTZlM2VmMzMxNTExOTMxZTMifQ=="/>
  </w:docVars>
  <w:rsids>
    <w:rsidRoot w:val="00596081"/>
    <w:rsid w:val="00387B6F"/>
    <w:rsid w:val="00596081"/>
    <w:rsid w:val="007A1D79"/>
    <w:rsid w:val="00CC3536"/>
    <w:rsid w:val="0C4D5EBD"/>
    <w:rsid w:val="11667040"/>
    <w:rsid w:val="379701E2"/>
    <w:rsid w:val="38736880"/>
    <w:rsid w:val="5F8409E2"/>
    <w:rsid w:val="FDCF03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rPr>
  </w:style>
  <w:style w:type="paragraph" w:styleId="3">
    <w:name w:val="footer"/>
    <w:basedOn w:val="1"/>
    <w:link w:val="8"/>
    <w:qFormat/>
    <w:uiPriority w:val="0"/>
    <w:pPr>
      <w:tabs>
        <w:tab w:val="center" w:pos="4153"/>
        <w:tab w:val="right" w:pos="8306"/>
      </w:tabs>
    </w:pPr>
    <w:rPr>
      <w:sz w:val="18"/>
      <w:szCs w:val="18"/>
    </w:rPr>
  </w:style>
  <w:style w:type="paragraph" w:styleId="4">
    <w:name w:val="header"/>
    <w:basedOn w:val="1"/>
    <w:link w:val="7"/>
    <w:qFormat/>
    <w:uiPriority w:val="0"/>
    <w:pPr>
      <w:pBdr>
        <w:bottom w:val="single" w:color="auto" w:sz="6" w:space="1"/>
      </w:pBdr>
      <w:tabs>
        <w:tab w:val="center" w:pos="4153"/>
        <w:tab w:val="right" w:pos="8306"/>
      </w:tabs>
      <w:jc w:val="center"/>
    </w:pPr>
    <w:rPr>
      <w:sz w:val="18"/>
      <w:szCs w:val="18"/>
    </w:rPr>
  </w:style>
  <w:style w:type="character" w:customStyle="1" w:styleId="7">
    <w:name w:val="页眉 Char"/>
    <w:basedOn w:val="6"/>
    <w:link w:val="4"/>
    <w:qFormat/>
    <w:uiPriority w:val="0"/>
    <w:rPr>
      <w:rFonts w:ascii="Arial" w:hAnsi="Arial" w:eastAsia="Arial" w:cs="Arial"/>
      <w:snapToGrid w:val="0"/>
      <w:color w:val="000000"/>
      <w:sz w:val="18"/>
      <w:szCs w:val="18"/>
      <w:lang w:eastAsia="en-US"/>
    </w:rPr>
  </w:style>
  <w:style w:type="character" w:customStyle="1" w:styleId="8">
    <w:name w:val="页脚 Char"/>
    <w:basedOn w:val="6"/>
    <w:link w:val="3"/>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1606</Words>
  <Characters>1743</Characters>
  <Lines>1</Lines>
  <Paragraphs>3</Paragraphs>
  <TotalTime>6</TotalTime>
  <ScaleCrop>false</ScaleCrop>
  <LinksUpToDate>false</LinksUpToDate>
  <CharactersWithSpaces>1747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2024-05-30T17:17:00Z</dcterms:created>
  <dc:creator>Administrator</dc:creator>
  <cp:lastModifiedBy>企业用户_615845838</cp:lastModifiedBy>
  <dcterms:modified xsi:type="dcterms:W3CDTF">2024-06-25T02:24:36Z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1E07808D6F7B4D0CBFD48EE3F039D8AB_13</vt:lpwstr>
  </property>
</Properties>
</file>