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17" w:line="219" w:lineRule="auto"/>
        <w:ind w:firstLine="616"/>
        <w:jc w:val="left"/>
        <w:rPr>
          <w:rFonts w:ascii="仿宋_GB2312" w:hAnsi="宋体" w:eastAsia="仿宋_GB2312" w:cs="宋体"/>
          <w:bCs/>
          <w:spacing w:val="8"/>
          <w:kern w:val="0"/>
          <w:sz w:val="30"/>
          <w:szCs w:val="30"/>
          <w:lang w:eastAsia="zh-CN"/>
        </w:rPr>
      </w:pPr>
      <w:bookmarkStart w:id="0" w:name="_GoBack"/>
      <w:bookmarkEnd w:id="0"/>
      <w:r>
        <w:rPr>
          <w:rFonts w:hint="eastAsia" w:ascii="仿宋_GB2312" w:hAnsi="宋体" w:eastAsia="仿宋_GB2312" w:cs="宋体"/>
          <w:bCs/>
          <w:spacing w:val="8"/>
          <w:kern w:val="0"/>
          <w:sz w:val="30"/>
          <w:szCs w:val="30"/>
          <w:lang w:eastAsia="zh-CN"/>
        </w:rPr>
        <w:t>附件2</w:t>
      </w:r>
    </w:p>
    <w:p>
      <w:pPr>
        <w:spacing w:before="117" w:line="219" w:lineRule="auto"/>
        <w:ind w:firstLine="896"/>
        <w:jc w:val="center"/>
        <w:rPr>
          <w:rFonts w:ascii="方正小标宋简体" w:hAnsi="宋体" w:eastAsia="方正小标宋简体" w:cs="宋体"/>
          <w:bCs/>
          <w:spacing w:val="8"/>
          <w:kern w:val="0"/>
          <w:sz w:val="44"/>
          <w:szCs w:val="44"/>
          <w:lang w:eastAsia="zh-CN"/>
        </w:rPr>
      </w:pPr>
      <w:r>
        <w:rPr>
          <w:rFonts w:ascii="方正小标宋简体" w:hAnsi="宋体" w:eastAsia="方正小标宋简体" w:cs="宋体"/>
          <w:bCs/>
          <w:spacing w:val="8"/>
          <w:kern w:val="0"/>
          <w:sz w:val="44"/>
          <w:szCs w:val="44"/>
          <w:lang w:eastAsia="zh-CN"/>
        </w:rPr>
        <w:t>202</w:t>
      </w:r>
      <w:r>
        <w:rPr>
          <w:rFonts w:hint="eastAsia" w:ascii="方正小标宋简体" w:hAnsi="宋体" w:eastAsia="方正小标宋简体" w:cs="宋体"/>
          <w:bCs/>
          <w:spacing w:val="8"/>
          <w:kern w:val="0"/>
          <w:sz w:val="44"/>
          <w:szCs w:val="44"/>
          <w:lang w:val="en-US" w:eastAsia="zh-CN"/>
        </w:rPr>
        <w:t>2</w:t>
      </w:r>
      <w:r>
        <w:rPr>
          <w:rFonts w:ascii="方正小标宋简体" w:hAnsi="宋体" w:eastAsia="方正小标宋简体" w:cs="宋体"/>
          <w:bCs/>
          <w:spacing w:val="8"/>
          <w:kern w:val="0"/>
          <w:sz w:val="44"/>
          <w:szCs w:val="44"/>
          <w:lang w:eastAsia="zh-CN"/>
        </w:rPr>
        <w:t>年度部门整体支出绩效自评表</w:t>
      </w:r>
    </w:p>
    <w:p>
      <w:pPr>
        <w:spacing w:line="237" w:lineRule="exact"/>
        <w:ind w:firstLine="420"/>
        <w:jc w:val="left"/>
        <w:rPr>
          <w:kern w:val="0"/>
          <w:lang w:eastAsia="zh-CN"/>
        </w:rPr>
      </w:pPr>
    </w:p>
    <w:tbl>
      <w:tblPr>
        <w:tblStyle w:val="7"/>
        <w:tblW w:w="9979" w:type="dxa"/>
        <w:tblInd w:w="-7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4"/>
        <w:gridCol w:w="1069"/>
        <w:gridCol w:w="1029"/>
        <w:gridCol w:w="1220"/>
        <w:gridCol w:w="1327"/>
        <w:gridCol w:w="1269"/>
        <w:gridCol w:w="699"/>
        <w:gridCol w:w="963"/>
        <w:gridCol w:w="1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074" w:type="dxa"/>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预算部门</w:t>
            </w: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名称</w:t>
            </w:r>
          </w:p>
        </w:tc>
        <w:tc>
          <w:tcPr>
            <w:tcW w:w="8905" w:type="dxa"/>
            <w:gridSpan w:val="8"/>
            <w:vAlign w:val="center"/>
          </w:tcPr>
          <w:p>
            <w:pPr>
              <w:spacing w:line="240" w:lineRule="auto"/>
              <w:ind w:firstLine="420"/>
              <w:jc w:val="center"/>
              <w:rPr>
                <w:rFonts w:ascii="仿宋_GB2312" w:eastAsia="仿宋_GB2312"/>
                <w:kern w:val="0"/>
              </w:rPr>
            </w:pPr>
            <w:r>
              <w:rPr>
                <w:rFonts w:hint="eastAsia" w:ascii="仿宋_GB2312" w:eastAsia="仿宋_GB2312"/>
                <w:kern w:val="0"/>
              </w:rPr>
              <w:t>汨罗市自然资源局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restart"/>
            <w:tcBorders>
              <w:bottom w:val="nil"/>
            </w:tcBorders>
            <w:vAlign w:val="center"/>
          </w:tcPr>
          <w:p>
            <w:pPr>
              <w:spacing w:line="240" w:lineRule="auto"/>
              <w:ind w:firstLine="420"/>
              <w:jc w:val="center"/>
              <w:rPr>
                <w:rFonts w:ascii="仿宋_GB2312" w:eastAsia="仿宋_GB2312"/>
                <w:kern w:val="0"/>
              </w:rPr>
            </w:pPr>
          </w:p>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年度预算申请</w:t>
            </w:r>
            <w:r>
              <w:rPr>
                <w:rFonts w:hint="eastAsia" w:ascii="仿宋_GB2312" w:eastAsia="仿宋_GB2312"/>
                <w:kern w:val="0"/>
              </w:rPr>
              <w:t>(</w:t>
            </w:r>
            <w:r>
              <w:rPr>
                <w:rFonts w:hint="eastAsia" w:ascii="仿宋_GB2312" w:hAnsi="宋体" w:eastAsia="仿宋_GB2312" w:cs="宋体"/>
                <w:kern w:val="0"/>
              </w:rPr>
              <w:t>万元</w:t>
            </w:r>
            <w:r>
              <w:rPr>
                <w:rFonts w:hint="eastAsia" w:ascii="仿宋_GB2312" w:eastAsia="仿宋_GB2312"/>
                <w:kern w:val="0"/>
              </w:rPr>
              <w:t>)</w:t>
            </w:r>
          </w:p>
        </w:tc>
        <w:tc>
          <w:tcPr>
            <w:tcW w:w="2098" w:type="dxa"/>
            <w:gridSpan w:val="2"/>
            <w:vAlign w:val="center"/>
          </w:tcPr>
          <w:p>
            <w:pPr>
              <w:spacing w:line="240" w:lineRule="auto"/>
              <w:ind w:firstLine="420"/>
              <w:jc w:val="center"/>
              <w:rPr>
                <w:rFonts w:ascii="仿宋_GB2312" w:eastAsia="仿宋_GB2312"/>
                <w:kern w:val="0"/>
              </w:rPr>
            </w:pPr>
          </w:p>
        </w:tc>
        <w:tc>
          <w:tcPr>
            <w:tcW w:w="1220"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年初</w:t>
            </w:r>
          </w:p>
          <w:p>
            <w:pPr>
              <w:spacing w:line="240" w:lineRule="auto"/>
              <w:jc w:val="center"/>
              <w:rPr>
                <w:rFonts w:ascii="仿宋_GB2312" w:eastAsia="仿宋_GB2312"/>
                <w:kern w:val="0"/>
              </w:rPr>
            </w:pPr>
            <w:r>
              <w:rPr>
                <w:rFonts w:hint="eastAsia" w:ascii="仿宋_GB2312" w:hAnsi="宋体" w:eastAsia="仿宋_GB2312" w:cs="宋体"/>
                <w:kern w:val="0"/>
              </w:rPr>
              <w:t>预算数</w:t>
            </w:r>
          </w:p>
        </w:tc>
        <w:tc>
          <w:tcPr>
            <w:tcW w:w="1327"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全年</w:t>
            </w:r>
          </w:p>
          <w:p>
            <w:pPr>
              <w:spacing w:line="240" w:lineRule="auto"/>
              <w:jc w:val="center"/>
              <w:rPr>
                <w:rFonts w:ascii="仿宋_GB2312" w:eastAsia="仿宋_GB2312"/>
                <w:kern w:val="0"/>
              </w:rPr>
            </w:pPr>
            <w:r>
              <w:rPr>
                <w:rFonts w:hint="eastAsia" w:ascii="仿宋_GB2312" w:hAnsi="宋体" w:eastAsia="仿宋_GB2312" w:cs="宋体"/>
                <w:kern w:val="0"/>
              </w:rPr>
              <w:t>预算数</w:t>
            </w:r>
          </w:p>
        </w:tc>
        <w:tc>
          <w:tcPr>
            <w:tcW w:w="1269" w:type="dxa"/>
            <w:vAlign w:val="center"/>
          </w:tcPr>
          <w:p>
            <w:pPr>
              <w:spacing w:line="240" w:lineRule="auto"/>
              <w:jc w:val="center"/>
              <w:rPr>
                <w:rFonts w:hint="eastAsia" w:ascii="仿宋_GB2312" w:hAnsi="宋体" w:eastAsia="仿宋_GB2312" w:cs="宋体"/>
                <w:kern w:val="0"/>
              </w:rPr>
            </w:pPr>
            <w:r>
              <w:rPr>
                <w:rFonts w:hint="eastAsia" w:ascii="仿宋_GB2312" w:hAnsi="宋体" w:eastAsia="仿宋_GB2312" w:cs="宋体"/>
                <w:kern w:val="0"/>
              </w:rPr>
              <w:t>全年</w:t>
            </w:r>
          </w:p>
          <w:p>
            <w:pPr>
              <w:spacing w:line="240" w:lineRule="auto"/>
              <w:jc w:val="center"/>
              <w:rPr>
                <w:rFonts w:ascii="仿宋_GB2312" w:eastAsia="仿宋_GB2312"/>
                <w:kern w:val="0"/>
              </w:rPr>
            </w:pPr>
            <w:r>
              <w:rPr>
                <w:rFonts w:hint="eastAsia" w:ascii="仿宋_GB2312" w:hAnsi="宋体" w:eastAsia="仿宋_GB2312" w:cs="宋体"/>
                <w:kern w:val="0"/>
              </w:rPr>
              <w:t>执行数</w:t>
            </w:r>
          </w:p>
        </w:tc>
        <w:tc>
          <w:tcPr>
            <w:tcW w:w="69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分值</w:t>
            </w:r>
          </w:p>
        </w:tc>
        <w:tc>
          <w:tcPr>
            <w:tcW w:w="963"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执行率</w:t>
            </w:r>
          </w:p>
        </w:tc>
        <w:tc>
          <w:tcPr>
            <w:tcW w:w="1329" w:type="dxa"/>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2098" w:type="dxa"/>
            <w:gridSpan w:val="2"/>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年度资金总额</w:t>
            </w:r>
          </w:p>
        </w:tc>
        <w:tc>
          <w:tcPr>
            <w:tcW w:w="1220" w:type="dxa"/>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4878.36</w:t>
            </w:r>
          </w:p>
        </w:tc>
        <w:tc>
          <w:tcPr>
            <w:tcW w:w="1327" w:type="dxa"/>
            <w:vAlign w:val="center"/>
          </w:tcPr>
          <w:p>
            <w:pPr>
              <w:spacing w:line="240" w:lineRule="auto"/>
              <w:ind w:firstLine="420"/>
              <w:jc w:val="center"/>
              <w:rPr>
                <w:rFonts w:ascii="仿宋_GB2312" w:eastAsia="仿宋_GB2312"/>
                <w:kern w:val="0"/>
              </w:rPr>
            </w:pPr>
            <w:r>
              <w:rPr>
                <w:rFonts w:hint="eastAsia" w:ascii="仿宋_GB2312" w:eastAsia="仿宋_GB2312"/>
                <w:kern w:val="0"/>
                <w:lang w:val="en-US" w:eastAsia="zh-CN"/>
              </w:rPr>
              <w:t>4878.36</w:t>
            </w:r>
          </w:p>
        </w:tc>
        <w:tc>
          <w:tcPr>
            <w:tcW w:w="1269" w:type="dxa"/>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2"/>
                <w:szCs w:val="22"/>
                <w:u w:val="none"/>
                <w:lang w:val="en-US" w:eastAsia="en-US" w:bidi="ar-SA"/>
              </w:rPr>
            </w:pPr>
            <w:r>
              <w:rPr>
                <w:rFonts w:hint="eastAsia" w:ascii="仿宋_GB2312" w:eastAsia="仿宋_GB2312"/>
                <w:kern w:val="0"/>
                <w:lang w:val="en-US" w:eastAsia="zh-CN"/>
              </w:rPr>
              <w:t>4878.36</w:t>
            </w:r>
            <w:r>
              <w:rPr>
                <w:rFonts w:hint="eastAsia" w:ascii="宋体" w:hAnsi="宋体" w:eastAsia="宋体" w:cs="宋体"/>
                <w:i w:val="0"/>
                <w:iCs w:val="0"/>
                <w:snapToGrid w:val="0"/>
                <w:color w:val="000000"/>
                <w:kern w:val="0"/>
                <w:sz w:val="22"/>
                <w:szCs w:val="22"/>
                <w:u w:val="none"/>
                <w:lang w:val="en-US" w:eastAsia="zh-CN" w:bidi="ar"/>
              </w:rPr>
              <w:t xml:space="preserve"> </w:t>
            </w:r>
          </w:p>
        </w:tc>
        <w:tc>
          <w:tcPr>
            <w:tcW w:w="699" w:type="dxa"/>
            <w:vAlign w:val="center"/>
          </w:tcPr>
          <w:p>
            <w:pPr>
              <w:spacing w:line="240" w:lineRule="auto"/>
              <w:jc w:val="center"/>
              <w:rPr>
                <w:rFonts w:ascii="仿宋_GB2312" w:eastAsia="仿宋_GB2312"/>
                <w:kern w:val="0"/>
              </w:rPr>
            </w:pPr>
            <w:r>
              <w:rPr>
                <w:rFonts w:hint="eastAsia" w:ascii="仿宋_GB2312" w:eastAsia="仿宋_GB2312"/>
                <w:kern w:val="0"/>
              </w:rPr>
              <w:t>10</w:t>
            </w:r>
          </w:p>
        </w:tc>
        <w:tc>
          <w:tcPr>
            <w:tcW w:w="963" w:type="dxa"/>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100%</w:t>
            </w:r>
          </w:p>
        </w:tc>
        <w:tc>
          <w:tcPr>
            <w:tcW w:w="1329" w:type="dxa"/>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按收入性质分：</w:t>
            </w:r>
          </w:p>
        </w:tc>
        <w:tc>
          <w:tcPr>
            <w:tcW w:w="4260" w:type="dxa"/>
            <w:gridSpan w:val="4"/>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按支出性质分：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420"/>
              <w:jc w:val="left"/>
              <w:rPr>
                <w:rFonts w:hint="default" w:ascii="仿宋_GB2312" w:eastAsia="仿宋_GB2312"/>
                <w:kern w:val="0"/>
                <w:lang w:val="en-US" w:eastAsia="zh-CN"/>
              </w:rPr>
            </w:pPr>
            <w:r>
              <w:rPr>
                <w:rFonts w:hint="eastAsia" w:ascii="仿宋_GB2312" w:hAnsi="宋体" w:eastAsia="仿宋_GB2312" w:cs="宋体"/>
                <w:kern w:val="0"/>
                <w:lang w:eastAsia="zh-CN"/>
              </w:rPr>
              <w:t>其中：一般公共预算：</w:t>
            </w:r>
            <w:r>
              <w:rPr>
                <w:rFonts w:hint="eastAsia" w:ascii="仿宋_GB2312" w:hAnsi="宋体" w:eastAsia="仿宋_GB2312" w:cs="宋体"/>
                <w:kern w:val="0"/>
                <w:lang w:val="en-US" w:eastAsia="zh-CN"/>
              </w:rPr>
              <w:t>2623.36</w:t>
            </w:r>
          </w:p>
        </w:tc>
        <w:tc>
          <w:tcPr>
            <w:tcW w:w="4260" w:type="dxa"/>
            <w:gridSpan w:val="4"/>
            <w:vAlign w:val="center"/>
          </w:tcPr>
          <w:p>
            <w:pPr>
              <w:spacing w:line="240" w:lineRule="auto"/>
              <w:ind w:firstLine="420"/>
              <w:jc w:val="left"/>
              <w:rPr>
                <w:rFonts w:ascii="仿宋_GB2312" w:eastAsia="仿宋_GB2312"/>
                <w:kern w:val="0"/>
              </w:rPr>
            </w:pPr>
            <w:r>
              <w:rPr>
                <w:rFonts w:hint="eastAsia" w:ascii="仿宋_GB2312" w:hAnsi="宋体" w:eastAsia="仿宋_GB2312" w:cs="宋体"/>
                <w:kern w:val="0"/>
              </w:rPr>
              <w:t>其中：基本支出：</w:t>
            </w:r>
            <w:r>
              <w:rPr>
                <w:rFonts w:hint="eastAsia" w:ascii="仿宋_GB2312" w:hAnsi="宋体" w:eastAsia="仿宋_GB2312" w:cs="宋体"/>
                <w:kern w:val="0"/>
                <w:lang w:val="en-US" w:eastAsia="zh-CN"/>
              </w:rPr>
              <w:t>2623.36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1050" w:firstLineChars="500"/>
              <w:jc w:val="left"/>
              <w:rPr>
                <w:rFonts w:hint="default" w:ascii="仿宋_GB2312" w:eastAsia="仿宋_GB2312"/>
                <w:kern w:val="0"/>
                <w:lang w:val="en-US" w:eastAsia="zh-CN"/>
              </w:rPr>
            </w:pPr>
            <w:r>
              <w:rPr>
                <w:rFonts w:hint="eastAsia" w:ascii="仿宋_GB2312" w:hAnsi="宋体" w:eastAsia="仿宋_GB2312" w:cs="宋体"/>
                <w:kern w:val="0"/>
              </w:rPr>
              <w:t>政府性基金拨款：</w:t>
            </w:r>
            <w:r>
              <w:rPr>
                <w:rFonts w:hint="eastAsia" w:ascii="仿宋_GB2312" w:hAnsi="宋体" w:eastAsia="仿宋_GB2312" w:cs="宋体"/>
                <w:kern w:val="0"/>
                <w:lang w:val="en-US" w:eastAsia="zh-CN"/>
              </w:rPr>
              <w:t>2255.00</w:t>
            </w:r>
          </w:p>
        </w:tc>
        <w:tc>
          <w:tcPr>
            <w:tcW w:w="4260" w:type="dxa"/>
            <w:gridSpan w:val="4"/>
            <w:vAlign w:val="center"/>
          </w:tcPr>
          <w:p>
            <w:pPr>
              <w:spacing w:line="240" w:lineRule="auto"/>
              <w:ind w:firstLine="1050" w:firstLineChars="500"/>
              <w:jc w:val="left"/>
              <w:rPr>
                <w:rFonts w:hint="default" w:ascii="仿宋_GB2312" w:eastAsia="仿宋_GB2312"/>
                <w:kern w:val="0"/>
                <w:lang w:val="en-US"/>
              </w:rPr>
            </w:pPr>
            <w:r>
              <w:rPr>
                <w:rFonts w:hint="eastAsia" w:ascii="仿宋_GB2312" w:hAnsi="宋体" w:eastAsia="仿宋_GB2312" w:cs="宋体"/>
                <w:kern w:val="0"/>
              </w:rPr>
              <w:t>项目支出：</w:t>
            </w:r>
            <w:r>
              <w:rPr>
                <w:rFonts w:hint="eastAsia" w:ascii="仿宋_GB2312" w:hAnsi="宋体" w:eastAsia="仿宋_GB2312" w:cs="宋体"/>
                <w:kern w:val="0"/>
                <w:lang w:val="en-US" w:eastAsia="zh-CN"/>
              </w:rPr>
              <w:t>2255.00</w:t>
            </w:r>
            <w:r>
              <w:rPr>
                <w:rFonts w:hint="eastAsia" w:ascii="仿宋_GB2312" w:hAnsi="宋体" w:eastAsia="仿宋_GB2312" w:cs="宋体"/>
                <w:kern w:val="0"/>
                <w:lang w:val="en-US" w:eastAsia="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ind w:firstLine="1050" w:firstLineChars="500"/>
              <w:jc w:val="left"/>
              <w:rPr>
                <w:rFonts w:ascii="仿宋_GB2312" w:eastAsia="仿宋_GB2312"/>
                <w:kern w:val="0"/>
                <w:lang w:eastAsia="zh-CN"/>
              </w:rPr>
            </w:pPr>
            <w:r>
              <w:rPr>
                <w:rFonts w:hint="eastAsia" w:ascii="仿宋_GB2312" w:hAnsi="宋体" w:eastAsia="仿宋_GB2312" w:cs="宋体"/>
                <w:kern w:val="0"/>
                <w:lang w:eastAsia="zh-CN"/>
              </w:rPr>
              <w:t>纳入专户管理的非税收入拨款：</w:t>
            </w:r>
          </w:p>
        </w:tc>
        <w:tc>
          <w:tcPr>
            <w:tcW w:w="4260" w:type="dxa"/>
            <w:gridSpan w:val="4"/>
            <w:vAlign w:val="center"/>
          </w:tcPr>
          <w:p>
            <w:pPr>
              <w:spacing w:line="240" w:lineRule="auto"/>
              <w:ind w:firstLine="420"/>
              <w:jc w:val="left"/>
              <w:rPr>
                <w:rFonts w:ascii="仿宋_GB2312" w:eastAsia="仿宋_GB2312"/>
                <w:kern w:val="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nil"/>
            </w:tcBorders>
            <w:vAlign w:val="center"/>
          </w:tcPr>
          <w:p>
            <w:pPr>
              <w:spacing w:line="240" w:lineRule="auto"/>
              <w:ind w:firstLine="420"/>
              <w:jc w:val="center"/>
              <w:rPr>
                <w:rFonts w:ascii="仿宋_GB2312" w:eastAsia="仿宋_GB2312"/>
                <w:kern w:val="0"/>
                <w:lang w:eastAsia="zh-CN"/>
              </w:rPr>
            </w:pPr>
          </w:p>
        </w:tc>
        <w:tc>
          <w:tcPr>
            <w:tcW w:w="4645" w:type="dxa"/>
            <w:gridSpan w:val="4"/>
            <w:vAlign w:val="center"/>
          </w:tcPr>
          <w:p>
            <w:pPr>
              <w:spacing w:line="240" w:lineRule="auto"/>
              <w:ind w:firstLine="1050" w:firstLineChars="500"/>
              <w:jc w:val="left"/>
              <w:rPr>
                <w:rFonts w:ascii="仿宋_GB2312" w:eastAsia="仿宋_GB2312"/>
                <w:kern w:val="0"/>
              </w:rPr>
            </w:pPr>
            <w:r>
              <w:rPr>
                <w:rFonts w:hint="eastAsia" w:ascii="仿宋_GB2312" w:hAnsi="宋体" w:eastAsia="仿宋_GB2312" w:cs="宋体"/>
                <w:kern w:val="0"/>
              </w:rPr>
              <w:t>其他资金：</w:t>
            </w:r>
          </w:p>
        </w:tc>
        <w:tc>
          <w:tcPr>
            <w:tcW w:w="4260" w:type="dxa"/>
            <w:gridSpan w:val="4"/>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 w:hRule="atLeast"/>
        </w:trPr>
        <w:tc>
          <w:tcPr>
            <w:tcW w:w="1074" w:type="dxa"/>
            <w:vMerge w:val="restart"/>
            <w:tcBorders>
              <w:bottom w:val="nil"/>
            </w:tcBorders>
            <w:vAlign w:val="center"/>
          </w:tcPr>
          <w:p>
            <w:pPr>
              <w:spacing w:line="240" w:lineRule="auto"/>
              <w:jc w:val="center"/>
              <w:rPr>
                <w:rFonts w:ascii="仿宋_GB2312" w:hAnsi="宋体" w:eastAsia="仿宋_GB2312" w:cs="宋体"/>
                <w:kern w:val="0"/>
                <w:lang w:eastAsia="zh-CN"/>
              </w:rPr>
            </w:pPr>
            <w:r>
              <w:rPr>
                <w:rFonts w:hint="eastAsia" w:ascii="仿宋_GB2312" w:hAnsi="宋体" w:eastAsia="仿宋_GB2312" w:cs="宋体"/>
                <w:kern w:val="0"/>
              </w:rPr>
              <w:t>年度总体</w:t>
            </w:r>
            <w:r>
              <w:rPr>
                <w:rFonts w:hint="eastAsia" w:ascii="仿宋_GB2312" w:hAnsi="宋体" w:eastAsia="仿宋_GB2312" w:cs="宋体"/>
                <w:kern w:val="0"/>
                <w:lang w:eastAsia="zh-CN"/>
              </w:rPr>
              <w:t xml:space="preserve"> </w:t>
            </w:r>
            <w:r>
              <w:rPr>
                <w:rFonts w:hint="eastAsia" w:ascii="仿宋_GB2312" w:hAnsi="宋体" w:eastAsia="仿宋_GB2312" w:cs="宋体"/>
                <w:kern w:val="0"/>
              </w:rPr>
              <w:t>目标</w:t>
            </w:r>
          </w:p>
        </w:tc>
        <w:tc>
          <w:tcPr>
            <w:tcW w:w="4645" w:type="dxa"/>
            <w:gridSpan w:val="4"/>
            <w:vAlign w:val="center"/>
          </w:tcPr>
          <w:p>
            <w:pPr>
              <w:spacing w:line="240" w:lineRule="auto"/>
              <w:jc w:val="center"/>
              <w:rPr>
                <w:rFonts w:ascii="仿宋_GB2312" w:eastAsia="仿宋_GB2312"/>
                <w:kern w:val="0"/>
              </w:rPr>
            </w:pPr>
            <w:r>
              <w:rPr>
                <w:rFonts w:hint="eastAsia" w:ascii="仿宋_GB2312" w:hAnsi="宋体" w:eastAsia="仿宋_GB2312" w:cs="宋体"/>
                <w:kern w:val="0"/>
              </w:rPr>
              <w:t>预期目标</w:t>
            </w:r>
          </w:p>
        </w:tc>
        <w:tc>
          <w:tcPr>
            <w:tcW w:w="4260" w:type="dxa"/>
            <w:gridSpan w:val="4"/>
            <w:vAlign w:val="center"/>
          </w:tcPr>
          <w:p>
            <w:pPr>
              <w:spacing w:line="240" w:lineRule="auto"/>
              <w:ind w:firstLine="420"/>
              <w:jc w:val="center"/>
              <w:rPr>
                <w:rFonts w:ascii="仿宋_GB2312" w:eastAsia="仿宋_GB2312"/>
                <w:kern w:val="0"/>
              </w:rPr>
            </w:pPr>
            <w:r>
              <w:rPr>
                <w:rFonts w:hint="eastAsia" w:ascii="仿宋_GB2312" w:hAnsi="宋体" w:eastAsia="仿宋_GB2312" w:cs="宋体"/>
                <w:kern w:val="0"/>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4" w:hRule="atLeast"/>
        </w:trPr>
        <w:tc>
          <w:tcPr>
            <w:tcW w:w="1074" w:type="dxa"/>
            <w:vMerge w:val="continue"/>
            <w:tcBorders>
              <w:top w:val="nil"/>
            </w:tcBorders>
            <w:vAlign w:val="center"/>
          </w:tcPr>
          <w:p>
            <w:pPr>
              <w:spacing w:line="240" w:lineRule="auto"/>
              <w:ind w:firstLine="420"/>
              <w:jc w:val="center"/>
              <w:rPr>
                <w:rFonts w:ascii="仿宋_GB2312" w:eastAsia="仿宋_GB2312"/>
                <w:kern w:val="0"/>
              </w:rPr>
            </w:pPr>
          </w:p>
        </w:tc>
        <w:tc>
          <w:tcPr>
            <w:tcW w:w="4645" w:type="dxa"/>
            <w:gridSpan w:val="4"/>
            <w:vAlign w:val="center"/>
          </w:tcPr>
          <w:p>
            <w:pPr>
              <w:spacing w:line="240" w:lineRule="auto"/>
              <w:jc w:val="left"/>
              <w:rPr>
                <w:rFonts w:hint="eastAsia" w:ascii="仿宋_GB2312" w:eastAsia="仿宋_GB2312"/>
                <w:kern w:val="0"/>
              </w:rPr>
            </w:pPr>
            <w:r>
              <w:rPr>
                <w:rFonts w:hint="eastAsia" w:ascii="仿宋_GB2312" w:eastAsia="仿宋_GB2312"/>
                <w:kern w:val="0"/>
              </w:rPr>
              <w:t>目标1：使有限的土地、矿产资源得到合理利用； 目标2：确保耕地和基本农田面积不减少；</w:t>
            </w:r>
          </w:p>
          <w:p>
            <w:pPr>
              <w:spacing w:line="240" w:lineRule="auto"/>
              <w:jc w:val="left"/>
              <w:rPr>
                <w:rFonts w:hint="eastAsia" w:ascii="仿宋_GB2312" w:eastAsia="仿宋_GB2312"/>
                <w:kern w:val="0"/>
              </w:rPr>
            </w:pPr>
            <w:r>
              <w:rPr>
                <w:rFonts w:hint="eastAsia" w:ascii="仿宋_GB2312" w:eastAsia="仿宋_GB2312"/>
                <w:kern w:val="0"/>
              </w:rPr>
              <w:t xml:space="preserve">目标3：保护地质环境，加强地质勘查管理和地质灾害防治； </w:t>
            </w:r>
          </w:p>
          <w:p>
            <w:pPr>
              <w:spacing w:line="240" w:lineRule="auto"/>
              <w:jc w:val="left"/>
              <w:rPr>
                <w:rFonts w:hint="eastAsia" w:ascii="仿宋_GB2312" w:eastAsia="仿宋_GB2312"/>
                <w:kern w:val="0"/>
              </w:rPr>
            </w:pPr>
            <w:r>
              <w:rPr>
                <w:rFonts w:hint="eastAsia" w:ascii="仿宋_GB2312" w:eastAsia="仿宋_GB2312"/>
                <w:kern w:val="0"/>
              </w:rPr>
              <w:t>目标4：规范土地、矿业权、测绘市场秩序；</w:t>
            </w:r>
          </w:p>
          <w:p>
            <w:pPr>
              <w:spacing w:line="240" w:lineRule="auto"/>
              <w:jc w:val="left"/>
              <w:rPr>
                <w:rFonts w:hint="eastAsia" w:ascii="仿宋_GB2312" w:eastAsia="仿宋_GB2312"/>
                <w:kern w:val="0"/>
              </w:rPr>
            </w:pPr>
            <w:r>
              <w:rPr>
                <w:rFonts w:hint="eastAsia" w:ascii="仿宋_GB2312" w:eastAsia="仿宋_GB2312"/>
                <w:kern w:val="0"/>
              </w:rPr>
              <w:t>目标5：规范国土资源权属，及时准确提供全市土地利用各种数据；</w:t>
            </w:r>
          </w:p>
          <w:p>
            <w:pPr>
              <w:spacing w:line="240" w:lineRule="auto"/>
              <w:jc w:val="left"/>
              <w:rPr>
                <w:rFonts w:hint="eastAsia" w:ascii="仿宋_GB2312" w:eastAsia="仿宋_GB2312"/>
                <w:kern w:val="0"/>
              </w:rPr>
            </w:pPr>
            <w:r>
              <w:rPr>
                <w:rFonts w:hint="eastAsia" w:ascii="仿宋_GB2312" w:eastAsia="仿宋_GB2312"/>
                <w:kern w:val="0"/>
              </w:rPr>
              <w:t>目标6：依法征收资源收益，规范监督资金使用。</w:t>
            </w:r>
          </w:p>
        </w:tc>
        <w:tc>
          <w:tcPr>
            <w:tcW w:w="4260" w:type="dxa"/>
            <w:gridSpan w:val="4"/>
            <w:vAlign w:val="center"/>
          </w:tcPr>
          <w:p>
            <w:pPr>
              <w:spacing w:line="240" w:lineRule="auto"/>
              <w:ind w:firstLine="420" w:firstLineChars="200"/>
              <w:jc w:val="left"/>
              <w:rPr>
                <w:rFonts w:hint="eastAsia" w:ascii="仿宋_GB2312" w:eastAsia="仿宋_GB2312"/>
                <w:kern w:val="0"/>
              </w:rPr>
            </w:pPr>
            <w:r>
              <w:rPr>
                <w:rFonts w:hint="eastAsia" w:ascii="仿宋_GB2312" w:eastAsia="仿宋_GB2312"/>
                <w:kern w:val="0"/>
              </w:rPr>
              <w:t>开展打击非法采矿“利剑行动”专项整治，共组织打击行动90多次，出动执法人员290多人次，现场制止非法开采36起，强制拆除洗砂场3家，扣押挖机31台，铲车3台；共立案查处涉砂涉矿违法案件24宗，罚没款58.98万元，向司法机关移送涉矿案件1宗。目前城区所有涉矿项目工地和各乡镇私挖乱采现象明显下降。集中力量对全市重点区域和重点经营性居民自建房的建设合法合规性进行全面排查，共摸排全市自建房15.8万栋，房屋安全隐患建设合法合规性需核实鉴定数7659户，已全部完成核实。查处城市重点监管区域违法建设471起，拆除面积127721平方米，实现了新增违法建设发现率、查处率100%。</w:t>
            </w:r>
          </w:p>
          <w:p>
            <w:pPr>
              <w:spacing w:line="240" w:lineRule="auto"/>
              <w:ind w:firstLine="420" w:firstLineChars="200"/>
              <w:jc w:val="left"/>
              <w:rPr>
                <w:rFonts w:hint="eastAsia" w:ascii="仿宋_GB2312" w:eastAsia="仿宋_GB2312"/>
                <w:kern w:val="0"/>
              </w:rPr>
            </w:pPr>
            <w:r>
              <w:rPr>
                <w:rFonts w:hint="eastAsia" w:ascii="仿宋_GB2312" w:eastAsia="仿宋_GB2312"/>
                <w:kern w:val="0"/>
              </w:rPr>
              <w:t>按照全域规划和多规合一要求，编制完成了《特色风貌与总体城市设计专项规划》《生态修复专项规划》和《矿产资源综合利用专项规划》，稳步推进《公共服务设施专项规划》和《山体水体保护专项规划》，基本形成《国土空间发展与战略定位专题研究》等6个专题研究成果。全面贯彻省、市工作部署要求，经过多轮修改，高质量完成了全市“三区三线”划定工作，划定成果符合质检要求,并得到正式启用,作为建设项目用地用海组卷报批的依据。完成了弼时镇、川山坪镇、罗江镇等6个乡镇国土空间规划初步成果汇报，其余乡镇国土空间规划也都在陆续展开。高效完成全市14个乡镇143个村庄规划编制全覆盖。</w:t>
            </w:r>
          </w:p>
          <w:p>
            <w:pPr>
              <w:spacing w:line="240" w:lineRule="auto"/>
              <w:ind w:firstLine="420" w:firstLineChars="200"/>
              <w:jc w:val="left"/>
              <w:rPr>
                <w:rFonts w:ascii="仿宋_GB2312" w:eastAsia="仿宋_GB2312"/>
                <w:kern w:val="0"/>
              </w:rPr>
            </w:pPr>
            <w:r>
              <w:rPr>
                <w:rFonts w:hint="eastAsia" w:ascii="仿宋_GB2312" w:eastAsia="仿宋_GB2312"/>
                <w:kern w:val="0"/>
              </w:rPr>
              <w:t>收储新增土地35宗1615亩，存量土地17宗365亩，出库土地62宗2082亩；共向省厅和岳阳市局呈报用地项目41宗，面积1611亩；拿回建设用地批单35宗，面积1505亩。编制了汨罗市2022年度第二批土地征收成片开发方案，开展了农村集体经营性建设用地入市试点，完成了国家重点项目玉池抽水蓄能建设项目用地预审与规划选址意见，重点解决了三一集团高端装备制造项目、中南表面处理产业园项目、湘北职业技术学院一二期、骆驼大道二期、上马湖农产品交易市场等一批重点项目用地需求，有效保障了地方经济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074" w:type="dxa"/>
            <w:vMerge w:val="restart"/>
            <w:textDirection w:val="tbRlV"/>
            <w:vAlign w:val="center"/>
          </w:tcPr>
          <w:p>
            <w:pPr>
              <w:spacing w:line="240" w:lineRule="auto"/>
              <w:ind w:firstLine="420"/>
              <w:jc w:val="center"/>
              <w:rPr>
                <w:rFonts w:ascii="仿宋_GB2312" w:eastAsia="仿宋_GB2312"/>
                <w:kern w:val="0"/>
              </w:rPr>
            </w:pPr>
          </w:p>
          <w:p>
            <w:pPr>
              <w:spacing w:line="240" w:lineRule="auto"/>
              <w:ind w:firstLine="420"/>
              <w:jc w:val="center"/>
              <w:rPr>
                <w:rFonts w:hint="eastAsia" w:ascii="仿宋_GB2312" w:hAnsi="宋体" w:eastAsia="仿宋_GB2312" w:cs="宋体"/>
                <w:kern w:val="0"/>
              </w:rPr>
            </w:pPr>
            <w:r>
              <w:rPr>
                <w:rFonts w:hint="eastAsia" w:ascii="仿宋_GB2312" w:hAnsi="宋体" w:eastAsia="仿宋_GB2312" w:cs="宋体"/>
                <w:kern w:val="0"/>
              </w:rPr>
              <w:t>绩效指标</w:t>
            </w:r>
          </w:p>
          <w:p>
            <w:pPr>
              <w:spacing w:line="240" w:lineRule="auto"/>
              <w:ind w:firstLine="420"/>
              <w:jc w:val="center"/>
              <w:rPr>
                <w:rFonts w:ascii="仿宋_GB2312" w:eastAsia="仿宋_GB2312"/>
                <w:kern w:val="0"/>
              </w:rPr>
            </w:pPr>
          </w:p>
          <w:p>
            <w:pPr>
              <w:spacing w:line="240" w:lineRule="auto"/>
              <w:ind w:firstLine="420"/>
              <w:jc w:val="center"/>
              <w:rPr>
                <w:rFonts w:ascii="仿宋_GB2312" w:eastAsia="仿宋_GB2312"/>
                <w:kern w:val="0"/>
              </w:rPr>
            </w:pPr>
          </w:p>
        </w:tc>
        <w:tc>
          <w:tcPr>
            <w:tcW w:w="106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一级指标</w:t>
            </w:r>
          </w:p>
        </w:tc>
        <w:tc>
          <w:tcPr>
            <w:tcW w:w="102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二级指标</w:t>
            </w:r>
          </w:p>
        </w:tc>
        <w:tc>
          <w:tcPr>
            <w:tcW w:w="1220"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三级指标</w:t>
            </w:r>
          </w:p>
        </w:tc>
        <w:tc>
          <w:tcPr>
            <w:tcW w:w="1327"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年度指标值</w:t>
            </w:r>
          </w:p>
        </w:tc>
        <w:tc>
          <w:tcPr>
            <w:tcW w:w="126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实际完成值</w:t>
            </w:r>
          </w:p>
        </w:tc>
        <w:tc>
          <w:tcPr>
            <w:tcW w:w="699"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分值</w:t>
            </w:r>
          </w:p>
        </w:tc>
        <w:tc>
          <w:tcPr>
            <w:tcW w:w="963" w:type="dxa"/>
            <w:vAlign w:val="center"/>
          </w:tcPr>
          <w:p>
            <w:pPr>
              <w:spacing w:line="240" w:lineRule="auto"/>
              <w:jc w:val="center"/>
              <w:rPr>
                <w:rFonts w:ascii="仿宋_GB2312" w:eastAsia="仿宋_GB2312"/>
                <w:kern w:val="0"/>
              </w:rPr>
            </w:pPr>
            <w:r>
              <w:rPr>
                <w:rFonts w:hint="eastAsia" w:ascii="仿宋_GB2312" w:hAnsi="宋体" w:eastAsia="仿宋_GB2312" w:cs="宋体"/>
                <w:kern w:val="0"/>
              </w:rPr>
              <w:t>得分</w:t>
            </w:r>
          </w:p>
        </w:tc>
        <w:tc>
          <w:tcPr>
            <w:tcW w:w="1329" w:type="dxa"/>
            <w:vAlign w:val="center"/>
          </w:tcPr>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偏差原因</w:t>
            </w:r>
          </w:p>
          <w:p>
            <w:pPr>
              <w:spacing w:line="240" w:lineRule="auto"/>
              <w:jc w:val="center"/>
              <w:rPr>
                <w:rFonts w:hint="eastAsia" w:ascii="仿宋_GB2312" w:hAnsi="宋体" w:eastAsia="仿宋_GB2312" w:cs="宋体"/>
                <w:kern w:val="0"/>
                <w:lang w:eastAsia="zh-CN"/>
              </w:rPr>
            </w:pPr>
            <w:r>
              <w:rPr>
                <w:rFonts w:hint="eastAsia" w:ascii="仿宋_GB2312" w:hAnsi="宋体" w:eastAsia="仿宋_GB2312" w:cs="宋体"/>
                <w:kern w:val="0"/>
                <w:lang w:eastAsia="zh-CN"/>
              </w:rPr>
              <w:t>分析及</w:t>
            </w:r>
          </w:p>
          <w:p>
            <w:pPr>
              <w:spacing w:line="240" w:lineRule="auto"/>
              <w:jc w:val="center"/>
              <w:rPr>
                <w:rFonts w:ascii="仿宋_GB2312" w:eastAsia="仿宋_GB2312"/>
                <w:kern w:val="0"/>
                <w:lang w:eastAsia="zh-CN"/>
              </w:rPr>
            </w:pPr>
            <w:r>
              <w:rPr>
                <w:rFonts w:hint="eastAsia" w:ascii="仿宋_GB2312" w:hAnsi="宋体" w:eastAsia="仿宋_GB2312" w:cs="宋体"/>
                <w:kern w:val="0"/>
                <w:lang w:eastAsia="zh-CN"/>
              </w:rPr>
              <w:t>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lang w:eastAsia="zh-CN"/>
              </w:rPr>
            </w:pPr>
          </w:p>
        </w:tc>
        <w:tc>
          <w:tcPr>
            <w:tcW w:w="1069" w:type="dxa"/>
            <w:vMerge w:val="restart"/>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产出指标</w:t>
            </w:r>
          </w:p>
          <w:p>
            <w:pPr>
              <w:spacing w:line="240" w:lineRule="auto"/>
              <w:jc w:val="center"/>
              <w:rPr>
                <w:rFonts w:ascii="仿宋_GB2312" w:eastAsia="仿宋_GB2312"/>
                <w:kern w:val="0"/>
              </w:rPr>
            </w:pPr>
            <w:r>
              <w:rPr>
                <w:rFonts w:hint="eastAsia" w:ascii="仿宋_GB2312" w:eastAsia="仿宋_GB2312"/>
                <w:kern w:val="0"/>
              </w:rPr>
              <w:t>(</w:t>
            </w:r>
            <w:r>
              <w:rPr>
                <w:rFonts w:hint="eastAsia" w:ascii="仿宋_GB2312" w:eastAsia="仿宋_GB2312"/>
                <w:kern w:val="0"/>
                <w:lang w:val="en-US" w:eastAsia="zh-CN"/>
              </w:rPr>
              <w:t>3</w:t>
            </w:r>
            <w:r>
              <w:rPr>
                <w:rFonts w:hint="eastAsia" w:ascii="仿宋_GB2312" w:eastAsia="仿宋_GB2312"/>
                <w:kern w:val="0"/>
              </w:rPr>
              <w:t>0</w:t>
            </w:r>
            <w:r>
              <w:rPr>
                <w:rFonts w:hint="eastAsia" w:ascii="仿宋_GB2312" w:hAnsi="宋体" w:eastAsia="仿宋_GB2312" w:cs="宋体"/>
                <w:kern w:val="0"/>
              </w:rPr>
              <w:t>分</w:t>
            </w:r>
            <w:r>
              <w:rPr>
                <w:rFonts w:hint="eastAsia" w:ascii="仿宋_GB2312" w:eastAsia="仿宋_GB2312"/>
                <w:kern w:val="0"/>
              </w:rPr>
              <w:t>)</w:t>
            </w: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数量指标</w:t>
            </w:r>
          </w:p>
        </w:tc>
        <w:tc>
          <w:tcPr>
            <w:tcW w:w="1220" w:type="dxa"/>
            <w:vAlign w:val="center"/>
          </w:tcPr>
          <w:p>
            <w:pPr>
              <w:spacing w:line="240" w:lineRule="auto"/>
              <w:ind w:left="0" w:leftChars="0" w:firstLine="0" w:firstLineChars="0"/>
              <w:jc w:val="left"/>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1.确保耕地和基本农田面积不变;2.提供土地利用数据</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1.确保耕地和基本农田面积不变;2.提供土地利用数据</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ind w:firstLine="420" w:firstLineChars="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质量指标</w:t>
            </w:r>
          </w:p>
        </w:tc>
        <w:tc>
          <w:tcPr>
            <w:tcW w:w="1220" w:type="dxa"/>
            <w:vAlign w:val="center"/>
          </w:tcPr>
          <w:p>
            <w:pPr>
              <w:spacing w:line="240" w:lineRule="auto"/>
              <w:ind w:left="0" w:leftChars="0" w:firstLine="0" w:firstLineChars="0"/>
              <w:jc w:val="left"/>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1.充分利用闲置土地资源(荒地、空心房变绿;2.增加绿化面积，有灾无险</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1.充分利用闲置土地资源(荒地、空心房变绿;2.增加绿化面积，有灾无险</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严格按照相关规定进行</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ind w:firstLine="420" w:firstLineChars="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时效指标</w:t>
            </w:r>
          </w:p>
        </w:tc>
        <w:tc>
          <w:tcPr>
            <w:tcW w:w="1220" w:type="dxa"/>
            <w:vAlign w:val="center"/>
          </w:tcPr>
          <w:p>
            <w:pPr>
              <w:spacing w:line="240" w:lineRule="auto"/>
              <w:ind w:left="0" w:leftChars="0" w:firstLine="0" w:firstLineChars="0"/>
              <w:jc w:val="both"/>
              <w:rPr>
                <w:rFonts w:hint="eastAsia" w:ascii="仿宋_GB2312" w:eastAsia="仿宋_GB2312"/>
                <w:kern w:val="0"/>
                <w:lang w:eastAsia="zh-CN"/>
              </w:rPr>
            </w:pPr>
            <w:r>
              <w:rPr>
                <w:rFonts w:hint="eastAsia" w:ascii="仿宋_GB2312" w:eastAsia="仿宋_GB2312"/>
                <w:kern w:val="0"/>
                <w:lang w:eastAsia="zh-CN"/>
              </w:rPr>
              <w:t>完成时间</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202</w:t>
            </w:r>
            <w:r>
              <w:rPr>
                <w:rFonts w:hint="eastAsia" w:ascii="仿宋_GB2312" w:hAnsi="宋体" w:eastAsia="仿宋_GB2312" w:cs="仿宋_GB2312"/>
                <w:i w:val="0"/>
                <w:iCs w:val="0"/>
                <w:snapToGrid w:val="0"/>
                <w:color w:val="000000"/>
                <w:kern w:val="0"/>
                <w:sz w:val="20"/>
                <w:szCs w:val="20"/>
                <w:u w:val="none"/>
                <w:lang w:val="en-US" w:eastAsia="zh-CN" w:bidi="ar"/>
              </w:rPr>
              <w:t>2</w:t>
            </w:r>
            <w:r>
              <w:rPr>
                <w:rFonts w:hint="default" w:ascii="仿宋_GB2312" w:hAnsi="宋体" w:eastAsia="仿宋_GB2312" w:cs="仿宋_GB2312"/>
                <w:i w:val="0"/>
                <w:iCs w:val="0"/>
                <w:snapToGrid w:val="0"/>
                <w:color w:val="000000"/>
                <w:kern w:val="0"/>
                <w:sz w:val="20"/>
                <w:szCs w:val="20"/>
                <w:u w:val="none"/>
                <w:lang w:val="en-US" w:eastAsia="zh-CN" w:bidi="ar"/>
              </w:rPr>
              <w:t>年全年</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202</w:t>
            </w:r>
            <w:r>
              <w:rPr>
                <w:rFonts w:hint="eastAsia" w:ascii="仿宋_GB2312" w:hAnsi="宋体" w:eastAsia="仿宋_GB2312" w:cs="仿宋_GB2312"/>
                <w:i w:val="0"/>
                <w:iCs w:val="0"/>
                <w:snapToGrid w:val="0"/>
                <w:color w:val="000000"/>
                <w:kern w:val="0"/>
                <w:sz w:val="20"/>
                <w:szCs w:val="20"/>
                <w:u w:val="none"/>
                <w:lang w:val="en-US" w:eastAsia="zh-CN" w:bidi="ar"/>
              </w:rPr>
              <w:t>2</w:t>
            </w:r>
            <w:r>
              <w:rPr>
                <w:rFonts w:hint="default" w:ascii="仿宋_GB2312" w:hAnsi="宋体" w:eastAsia="仿宋_GB2312" w:cs="仿宋_GB2312"/>
                <w:i w:val="0"/>
                <w:iCs w:val="0"/>
                <w:snapToGrid w:val="0"/>
                <w:color w:val="000000"/>
                <w:kern w:val="0"/>
                <w:sz w:val="20"/>
                <w:szCs w:val="20"/>
                <w:u w:val="none"/>
                <w:lang w:val="en-US" w:eastAsia="zh-CN" w:bidi="ar"/>
              </w:rPr>
              <w:t>年全年</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restart"/>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效益指标</w:t>
            </w:r>
            <w:r>
              <w:rPr>
                <w:rFonts w:hint="eastAsia" w:ascii="仿宋_GB2312" w:eastAsia="仿宋_GB2312"/>
                <w:kern w:val="0"/>
              </w:rPr>
              <w:t>(30</w:t>
            </w:r>
            <w:r>
              <w:rPr>
                <w:rFonts w:hint="eastAsia" w:ascii="仿宋_GB2312" w:hAnsi="宋体" w:eastAsia="仿宋_GB2312" w:cs="宋体"/>
                <w:kern w:val="0"/>
              </w:rPr>
              <w:t>分</w:t>
            </w:r>
            <w:r>
              <w:rPr>
                <w:rFonts w:hint="eastAsia" w:ascii="仿宋_GB2312" w:eastAsia="仿宋_GB2312"/>
                <w:kern w:val="0"/>
              </w:rPr>
              <w:t>)</w:t>
            </w: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经济效益指标</w:t>
            </w:r>
          </w:p>
        </w:tc>
        <w:tc>
          <w:tcPr>
            <w:tcW w:w="1220" w:type="dxa"/>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促进经济发展</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1.征收土地出让金 2.经费及人员</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基本完成、按实际情况支出 规范</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社会效益指标</w:t>
            </w:r>
          </w:p>
        </w:tc>
        <w:tc>
          <w:tcPr>
            <w:tcW w:w="1220" w:type="dxa"/>
            <w:vAlign w:val="center"/>
          </w:tcPr>
          <w:p>
            <w:pPr>
              <w:spacing w:line="240" w:lineRule="auto"/>
              <w:ind w:left="0" w:leftChars="0" w:firstLine="0" w:firstLineChars="0"/>
              <w:jc w:val="left"/>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很少有荒地荒山，充分发挥生态循环作用</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很少有荒地荒山，充分发挥生态循环作用</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基本完成</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nil"/>
            </w:tcBorders>
            <w:vAlign w:val="center"/>
          </w:tcPr>
          <w:p>
            <w:pPr>
              <w:spacing w:line="240" w:lineRule="auto"/>
              <w:ind w:firstLine="420"/>
              <w:jc w:val="center"/>
              <w:rPr>
                <w:rFonts w:ascii="仿宋_GB2312" w:eastAsia="仿宋_GB2312"/>
                <w:kern w:val="0"/>
              </w:rPr>
            </w:pPr>
          </w:p>
        </w:tc>
        <w:tc>
          <w:tcPr>
            <w:tcW w:w="1029" w:type="dxa"/>
            <w:tcBorders>
              <w:bottom w:val="nil"/>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生态效益指标</w:t>
            </w:r>
          </w:p>
        </w:tc>
        <w:tc>
          <w:tcPr>
            <w:tcW w:w="1220" w:type="dxa"/>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生态环境改善状况</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有所提升</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有所提升</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1074" w:type="dxa"/>
            <w:vMerge w:val="continue"/>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nil"/>
              <w:bottom w:val="single" w:color="auto" w:sz="4" w:space="0"/>
            </w:tcBorders>
            <w:vAlign w:val="center"/>
          </w:tcPr>
          <w:p>
            <w:pPr>
              <w:spacing w:line="240" w:lineRule="auto"/>
              <w:ind w:firstLine="420"/>
              <w:jc w:val="center"/>
              <w:rPr>
                <w:rFonts w:ascii="仿宋_GB2312" w:eastAsia="仿宋_GB2312"/>
                <w:kern w:val="0"/>
              </w:rPr>
            </w:pPr>
          </w:p>
        </w:tc>
        <w:tc>
          <w:tcPr>
            <w:tcW w:w="1029" w:type="dxa"/>
            <w:tcBorders>
              <w:bottom w:val="single" w:color="auto" w:sz="4" w:space="0"/>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可持续影响指标</w:t>
            </w:r>
          </w:p>
        </w:tc>
        <w:tc>
          <w:tcPr>
            <w:tcW w:w="1220" w:type="dxa"/>
            <w:tcBorders>
              <w:bottom w:val="single" w:color="auto" w:sz="4" w:space="0"/>
            </w:tcBorders>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对生态环境可持续影响</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持续</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持续</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106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满意度指标</w:t>
            </w:r>
          </w:p>
          <w:p>
            <w:pPr>
              <w:spacing w:line="240" w:lineRule="auto"/>
              <w:jc w:val="center"/>
              <w:rPr>
                <w:rFonts w:ascii="仿宋_GB2312" w:eastAsia="仿宋_GB2312"/>
                <w:kern w:val="0"/>
              </w:rPr>
            </w:pPr>
            <w:r>
              <w:rPr>
                <w:rFonts w:hint="eastAsia" w:ascii="仿宋_GB2312" w:eastAsia="仿宋_GB2312"/>
                <w:kern w:val="0"/>
              </w:rPr>
              <w:t>(10</w:t>
            </w:r>
            <w:r>
              <w:rPr>
                <w:rFonts w:hint="eastAsia" w:ascii="仿宋_GB2312" w:hAnsi="宋体" w:eastAsia="仿宋_GB2312" w:cs="宋体"/>
                <w:kern w:val="0"/>
              </w:rPr>
              <w:t>分</w:t>
            </w:r>
            <w:r>
              <w:rPr>
                <w:rFonts w:hint="eastAsia" w:ascii="仿宋_GB2312" w:eastAsia="仿宋_GB2312"/>
                <w:kern w:val="0"/>
              </w:rPr>
              <w:t>)</w:t>
            </w:r>
          </w:p>
        </w:tc>
        <w:tc>
          <w:tcPr>
            <w:tcW w:w="102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仿宋_GB2312" w:eastAsia="仿宋_GB2312"/>
                <w:kern w:val="0"/>
              </w:rPr>
            </w:pPr>
            <w:r>
              <w:rPr>
                <w:rFonts w:hint="eastAsia" w:ascii="仿宋_GB2312" w:hAnsi="宋体" w:eastAsia="仿宋_GB2312" w:cs="宋体"/>
                <w:kern w:val="0"/>
              </w:rPr>
              <w:t>服务对象满意度指标</w:t>
            </w:r>
          </w:p>
        </w:tc>
        <w:tc>
          <w:tcPr>
            <w:tcW w:w="1220"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受益对象满意度；社会公众满意度</w:t>
            </w:r>
          </w:p>
        </w:tc>
        <w:tc>
          <w:tcPr>
            <w:tcW w:w="1327" w:type="dxa"/>
            <w:tcBorders>
              <w:left w:val="single" w:color="auto" w:sz="4" w:space="0"/>
            </w:tcBorders>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≥95%</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98%</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hint="default" w:ascii="仿宋_GB2312" w:eastAsia="仿宋_GB2312"/>
                <w:kern w:val="0"/>
                <w:lang w:val="en-US"/>
              </w:rPr>
            </w:pPr>
            <w:r>
              <w:rPr>
                <w:rFonts w:hint="default" w:ascii="仿宋_GB2312" w:hAnsi="宋体" w:eastAsia="仿宋_GB2312" w:cs="仿宋_GB2312"/>
                <w:i w:val="0"/>
                <w:iCs w:val="0"/>
                <w:snapToGrid w:val="0"/>
                <w:color w:val="000000"/>
                <w:kern w:val="0"/>
                <w:sz w:val="20"/>
                <w:szCs w:val="20"/>
                <w:u w:val="none"/>
                <w:lang w:val="en-US" w:eastAsia="zh-CN" w:bidi="ar"/>
              </w:rPr>
              <w:t>9.8</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1069" w:type="dxa"/>
            <w:vMerge w:val="restart"/>
            <w:tcBorders>
              <w:top w:val="single" w:color="auto" w:sz="4" w:space="0"/>
              <w:left w:val="single" w:color="auto" w:sz="4" w:space="0"/>
              <w:bottom w:val="single" w:color="auto" w:sz="4" w:space="0"/>
            </w:tcBorders>
            <w:vAlign w:val="center"/>
          </w:tcPr>
          <w:p>
            <w:pPr>
              <w:spacing w:line="240" w:lineRule="auto"/>
              <w:jc w:val="center"/>
              <w:rPr>
                <w:rFonts w:hint="eastAsia" w:ascii="仿宋_GB2312" w:eastAsia="仿宋_GB2312"/>
                <w:kern w:val="0"/>
                <w:lang w:val="en-US" w:eastAsia="zh-CN"/>
              </w:rPr>
            </w:pPr>
            <w:r>
              <w:rPr>
                <w:rFonts w:hint="eastAsia" w:ascii="仿宋_GB2312" w:eastAsia="仿宋_GB2312"/>
                <w:kern w:val="0"/>
                <w:lang w:val="en-US" w:eastAsia="zh-CN"/>
              </w:rPr>
              <w:t>成本指标</w:t>
            </w:r>
          </w:p>
          <w:p>
            <w:pPr>
              <w:spacing w:line="240" w:lineRule="auto"/>
              <w:jc w:val="center"/>
              <w:rPr>
                <w:rFonts w:hint="default" w:ascii="仿宋_GB2312" w:eastAsia="仿宋_GB2312"/>
                <w:kern w:val="0"/>
                <w:lang w:val="en-US" w:eastAsia="zh-CN"/>
              </w:rPr>
            </w:pPr>
            <w:r>
              <w:rPr>
                <w:rFonts w:hint="eastAsia" w:ascii="仿宋_GB2312" w:eastAsia="仿宋_GB2312"/>
                <w:kern w:val="0"/>
                <w:lang w:val="en-US" w:eastAsia="zh-CN"/>
              </w:rPr>
              <w:t>（20分）</w:t>
            </w:r>
          </w:p>
        </w:tc>
        <w:tc>
          <w:tcPr>
            <w:tcW w:w="1029" w:type="dxa"/>
            <w:tcBorders>
              <w:top w:val="single" w:color="auto" w:sz="4" w:space="0"/>
              <w:bottom w:val="single" w:color="auto" w:sz="4" w:space="0"/>
              <w:right w:val="single" w:color="auto" w:sz="4" w:space="0"/>
            </w:tcBorders>
            <w:vAlign w:val="center"/>
          </w:tcPr>
          <w:p>
            <w:pPr>
              <w:spacing w:line="240" w:lineRule="auto"/>
              <w:jc w:val="center"/>
              <w:rPr>
                <w:rFonts w:hint="eastAsia" w:ascii="仿宋_GB2312" w:eastAsia="仿宋_GB2312"/>
                <w:kern w:val="0"/>
                <w:lang w:eastAsia="zh-CN"/>
              </w:rPr>
            </w:pPr>
            <w:r>
              <w:rPr>
                <w:rFonts w:hint="eastAsia" w:ascii="仿宋_GB2312" w:eastAsia="仿宋_GB2312"/>
                <w:kern w:val="0"/>
                <w:lang w:eastAsia="zh-CN"/>
              </w:rPr>
              <w:t>经济成本指标</w:t>
            </w:r>
          </w:p>
        </w:tc>
        <w:tc>
          <w:tcPr>
            <w:tcW w:w="1220" w:type="dxa"/>
            <w:tcBorders>
              <w:top w:val="single" w:color="auto" w:sz="4" w:space="0"/>
              <w:left w:val="single" w:color="auto" w:sz="4" w:space="0"/>
            </w:tcBorders>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预算批复金额</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1.控制人工成本 2.控制材料成本</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厉行节约控制人员经费、公用经费和项目经费支出</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10</w:t>
            </w:r>
          </w:p>
        </w:tc>
        <w:tc>
          <w:tcPr>
            <w:tcW w:w="1329" w:type="dxa"/>
            <w:vAlign w:val="center"/>
          </w:tcPr>
          <w:p>
            <w:pPr>
              <w:keepNext w:val="0"/>
              <w:keepLines w:val="0"/>
              <w:widowControl/>
              <w:suppressLineNumbers w:val="0"/>
              <w:jc w:val="center"/>
              <w:textAlignment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1069" w:type="dxa"/>
            <w:vMerge w:val="continue"/>
            <w:tcBorders>
              <w:top w:val="single" w:color="auto" w:sz="4" w:space="0"/>
              <w:left w:val="single" w:color="auto" w:sz="4" w:space="0"/>
            </w:tcBorders>
            <w:vAlign w:val="center"/>
          </w:tcPr>
          <w:p>
            <w:pPr>
              <w:spacing w:line="240" w:lineRule="auto"/>
              <w:ind w:firstLine="420"/>
              <w:jc w:val="center"/>
              <w:rPr>
                <w:rFonts w:ascii="仿宋_GB2312" w:eastAsia="仿宋_GB2312"/>
                <w:kern w:val="0"/>
              </w:rPr>
            </w:pPr>
          </w:p>
        </w:tc>
        <w:tc>
          <w:tcPr>
            <w:tcW w:w="1029" w:type="dxa"/>
            <w:tcBorders>
              <w:top w:val="single" w:color="auto" w:sz="4" w:space="0"/>
            </w:tcBorders>
            <w:vAlign w:val="center"/>
          </w:tcPr>
          <w:p>
            <w:pPr>
              <w:spacing w:line="240" w:lineRule="auto"/>
              <w:jc w:val="center"/>
              <w:rPr>
                <w:rFonts w:hint="eastAsia" w:ascii="仿宋_GB2312" w:eastAsia="仿宋_GB2312"/>
                <w:kern w:val="0"/>
                <w:lang w:eastAsia="zh-CN"/>
              </w:rPr>
            </w:pPr>
            <w:r>
              <w:rPr>
                <w:rFonts w:hint="eastAsia" w:ascii="仿宋_GB2312" w:eastAsia="仿宋_GB2312"/>
                <w:kern w:val="0"/>
                <w:lang w:eastAsia="zh-CN"/>
              </w:rPr>
              <w:t>社会成本指标</w:t>
            </w:r>
          </w:p>
        </w:tc>
        <w:tc>
          <w:tcPr>
            <w:tcW w:w="1220" w:type="dxa"/>
            <w:vAlign w:val="center"/>
          </w:tcPr>
          <w:p>
            <w:pPr>
              <w:spacing w:line="240" w:lineRule="auto"/>
              <w:jc w:val="left"/>
              <w:rPr>
                <w:rFonts w:hint="eastAsia" w:ascii="仿宋_GB2312" w:eastAsia="仿宋_GB2312"/>
                <w:kern w:val="0"/>
                <w:lang w:eastAsia="zh-CN"/>
              </w:rPr>
            </w:pPr>
            <w:r>
              <w:rPr>
                <w:rFonts w:hint="eastAsia" w:ascii="仿宋_GB2312" w:eastAsia="仿宋_GB2312"/>
                <w:kern w:val="0"/>
                <w:lang w:eastAsia="zh-CN"/>
              </w:rPr>
              <w:t>对社会发展可能造成的负面影响</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right w:val="single" w:color="auto" w:sz="4" w:space="0"/>
            </w:tcBorders>
            <w:textDirection w:val="tbRlV"/>
            <w:vAlign w:val="center"/>
          </w:tcPr>
          <w:p>
            <w:pPr>
              <w:spacing w:line="240" w:lineRule="auto"/>
              <w:ind w:firstLine="420"/>
              <w:jc w:val="center"/>
              <w:rPr>
                <w:rFonts w:ascii="仿宋_GB2312" w:eastAsia="仿宋_GB2312"/>
                <w:kern w:val="0"/>
              </w:rPr>
            </w:pPr>
          </w:p>
        </w:tc>
        <w:tc>
          <w:tcPr>
            <w:tcW w:w="1069" w:type="dxa"/>
            <w:vMerge w:val="continue"/>
            <w:tcBorders>
              <w:left w:val="single" w:color="auto" w:sz="4" w:space="0"/>
            </w:tcBorders>
            <w:vAlign w:val="center"/>
          </w:tcPr>
          <w:p>
            <w:pPr>
              <w:spacing w:line="240" w:lineRule="auto"/>
              <w:ind w:firstLine="420"/>
              <w:jc w:val="center"/>
              <w:rPr>
                <w:rFonts w:ascii="仿宋_GB2312" w:eastAsia="仿宋_GB2312"/>
                <w:kern w:val="0"/>
              </w:rPr>
            </w:pPr>
          </w:p>
        </w:tc>
        <w:tc>
          <w:tcPr>
            <w:tcW w:w="1029" w:type="dxa"/>
            <w:tcBorders>
              <w:top w:val="nil"/>
            </w:tcBorders>
            <w:vAlign w:val="center"/>
          </w:tcPr>
          <w:p>
            <w:pPr>
              <w:spacing w:line="240" w:lineRule="auto"/>
              <w:jc w:val="center"/>
              <w:rPr>
                <w:rFonts w:hint="eastAsia" w:ascii="仿宋_GB2312" w:eastAsia="仿宋_GB2312"/>
                <w:kern w:val="0"/>
                <w:lang w:eastAsia="zh-CN"/>
              </w:rPr>
            </w:pPr>
            <w:r>
              <w:rPr>
                <w:rFonts w:hint="eastAsia" w:ascii="仿宋_GB2312" w:eastAsia="仿宋_GB2312"/>
                <w:kern w:val="0"/>
                <w:lang w:eastAsia="zh-CN"/>
              </w:rPr>
              <w:t>生态环境成本指标</w:t>
            </w:r>
          </w:p>
        </w:tc>
        <w:tc>
          <w:tcPr>
            <w:tcW w:w="1220" w:type="dxa"/>
            <w:vAlign w:val="center"/>
          </w:tcPr>
          <w:p>
            <w:pPr>
              <w:spacing w:line="240" w:lineRule="auto"/>
              <w:ind w:left="0" w:leftChars="0" w:firstLine="0" w:firstLineChars="0"/>
              <w:jc w:val="left"/>
              <w:rPr>
                <w:rFonts w:hint="eastAsia" w:ascii="仿宋_GB2312" w:eastAsia="仿宋_GB2312"/>
                <w:kern w:val="0"/>
                <w:lang w:eastAsia="zh-CN"/>
              </w:rPr>
            </w:pPr>
            <w:r>
              <w:rPr>
                <w:rFonts w:hint="eastAsia" w:ascii="仿宋_GB2312" w:eastAsia="仿宋_GB2312"/>
                <w:kern w:val="0"/>
                <w:lang w:eastAsia="zh-CN"/>
              </w:rPr>
              <w:t>对自然生态环境造成的负面影响</w:t>
            </w:r>
          </w:p>
        </w:tc>
        <w:tc>
          <w:tcPr>
            <w:tcW w:w="1327"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126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无</w:t>
            </w:r>
          </w:p>
        </w:tc>
        <w:tc>
          <w:tcPr>
            <w:tcW w:w="699" w:type="dxa"/>
            <w:vAlign w:val="center"/>
          </w:tcPr>
          <w:p>
            <w:pPr>
              <w:keepNext w:val="0"/>
              <w:keepLines w:val="0"/>
              <w:widowControl/>
              <w:suppressLineNumbers w:val="0"/>
              <w:jc w:val="center"/>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963" w:type="dxa"/>
            <w:vAlign w:val="center"/>
          </w:tcPr>
          <w:p>
            <w:pPr>
              <w:keepNext w:val="0"/>
              <w:keepLines w:val="0"/>
              <w:widowControl/>
              <w:suppressLineNumbers w:val="0"/>
              <w:jc w:val="right"/>
              <w:textAlignment w:val="center"/>
              <w:rPr>
                <w:rFonts w:ascii="仿宋_GB2312" w:eastAsia="仿宋_GB2312"/>
                <w:kern w:val="0"/>
              </w:rPr>
            </w:pPr>
            <w:r>
              <w:rPr>
                <w:rFonts w:hint="default" w:ascii="仿宋_GB2312" w:hAnsi="宋体" w:eastAsia="仿宋_GB2312" w:cs="仿宋_GB2312"/>
                <w:i w:val="0"/>
                <w:iCs w:val="0"/>
                <w:snapToGrid w:val="0"/>
                <w:color w:val="000000"/>
                <w:kern w:val="0"/>
                <w:sz w:val="20"/>
                <w:szCs w:val="20"/>
                <w:u w:val="none"/>
                <w:lang w:val="en-US" w:eastAsia="zh-CN" w:bidi="ar"/>
              </w:rPr>
              <w:t>5</w:t>
            </w:r>
          </w:p>
        </w:tc>
        <w:tc>
          <w:tcPr>
            <w:tcW w:w="1329" w:type="dxa"/>
            <w:vAlign w:val="center"/>
          </w:tcPr>
          <w:p>
            <w:pPr>
              <w:spacing w:line="240" w:lineRule="auto"/>
              <w:ind w:firstLine="420"/>
              <w:jc w:val="center"/>
              <w:rPr>
                <w:rFonts w:ascii="仿宋_GB2312" w:eastAsia="仿宋_GB2312"/>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6988" w:type="dxa"/>
            <w:gridSpan w:val="6"/>
            <w:vAlign w:val="center"/>
          </w:tcPr>
          <w:p>
            <w:pPr>
              <w:spacing w:line="240" w:lineRule="auto"/>
              <w:ind w:firstLine="420"/>
              <w:jc w:val="center"/>
              <w:rPr>
                <w:rFonts w:ascii="仿宋_GB2312" w:eastAsia="仿宋_GB2312"/>
                <w:kern w:val="0"/>
                <w:lang w:eastAsia="zh-CN"/>
              </w:rPr>
            </w:pPr>
            <w:r>
              <w:rPr>
                <w:rFonts w:hint="eastAsia" w:ascii="仿宋_GB2312" w:eastAsia="仿宋_GB2312"/>
                <w:kern w:val="0"/>
                <w:lang w:eastAsia="zh-CN"/>
              </w:rPr>
              <w:t>总分</w:t>
            </w:r>
          </w:p>
        </w:tc>
        <w:tc>
          <w:tcPr>
            <w:tcW w:w="699" w:type="dxa"/>
            <w:vAlign w:val="center"/>
          </w:tcPr>
          <w:p>
            <w:pPr>
              <w:spacing w:line="240" w:lineRule="auto"/>
              <w:jc w:val="center"/>
              <w:rPr>
                <w:rFonts w:ascii="仿宋_GB2312" w:eastAsia="仿宋_GB2312"/>
                <w:kern w:val="0"/>
              </w:rPr>
            </w:pPr>
            <w:r>
              <w:rPr>
                <w:rFonts w:hint="eastAsia" w:ascii="仿宋_GB2312" w:eastAsia="仿宋_GB2312"/>
                <w:kern w:val="0"/>
              </w:rPr>
              <w:t>100</w:t>
            </w:r>
          </w:p>
        </w:tc>
        <w:tc>
          <w:tcPr>
            <w:tcW w:w="963" w:type="dxa"/>
            <w:vAlign w:val="center"/>
          </w:tcPr>
          <w:p>
            <w:pPr>
              <w:spacing w:line="240" w:lineRule="auto"/>
              <w:ind w:firstLine="420"/>
              <w:jc w:val="center"/>
              <w:rPr>
                <w:rFonts w:hint="default" w:ascii="仿宋_GB2312" w:eastAsia="仿宋_GB2312"/>
                <w:kern w:val="0"/>
                <w:lang w:val="en-US" w:eastAsia="zh-CN"/>
              </w:rPr>
            </w:pPr>
            <w:r>
              <w:rPr>
                <w:rFonts w:hint="eastAsia" w:ascii="仿宋_GB2312" w:eastAsia="仿宋_GB2312"/>
                <w:kern w:val="0"/>
                <w:lang w:val="en-US" w:eastAsia="zh-CN"/>
              </w:rPr>
              <w:t>99.80</w:t>
            </w:r>
          </w:p>
        </w:tc>
        <w:tc>
          <w:tcPr>
            <w:tcW w:w="1329" w:type="dxa"/>
            <w:vAlign w:val="center"/>
          </w:tcPr>
          <w:p>
            <w:pPr>
              <w:spacing w:line="240" w:lineRule="auto"/>
              <w:ind w:firstLine="420"/>
              <w:jc w:val="center"/>
              <w:rPr>
                <w:rFonts w:ascii="仿宋_GB2312" w:eastAsia="仿宋_GB2312"/>
                <w:kern w:val="0"/>
              </w:rPr>
            </w:pPr>
          </w:p>
        </w:tc>
      </w:tr>
    </w:tbl>
    <w:p>
      <w:pPr>
        <w:kinsoku w:val="0"/>
        <w:autoSpaceDE w:val="0"/>
        <w:autoSpaceDN w:val="0"/>
        <w:adjustRightInd w:val="0"/>
        <w:snapToGrid w:val="0"/>
        <w:spacing w:before="293" w:line="236" w:lineRule="auto"/>
        <w:textAlignment w:val="baseline"/>
        <w:rPr>
          <w:rFonts w:ascii="仿宋_GB2312" w:hAnsi="宋体" w:eastAsia="仿宋_GB2312" w:cs="宋体"/>
          <w:snapToGrid w:val="0"/>
          <w:color w:val="000000"/>
          <w:sz w:val="35"/>
          <w:szCs w:val="35"/>
          <w:lang w:val="en-US" w:eastAsia="zh-CN" w:bidi="ar-SA"/>
        </w:rPr>
      </w:pPr>
      <w:r>
        <w:rPr>
          <w:rFonts w:ascii="仿宋_GB2312" w:hAnsi="宋体" w:eastAsia="仿宋_GB2312" w:cs="宋体"/>
          <w:snapToGrid w:val="0"/>
          <w:color w:val="000000"/>
          <w:sz w:val="21"/>
          <w:szCs w:val="21"/>
          <w:lang w:val="en-US" w:eastAsia="zh-CN" w:bidi="ar-SA"/>
        </w:rPr>
        <w:t xml:space="preserve">填表人：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 xml:space="preserve"> 填报日期：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 xml:space="preserve">联系电话：   </w:t>
      </w:r>
      <w:r>
        <w:rPr>
          <w:rFonts w:hint="eastAsia" w:ascii="仿宋_GB2312" w:hAnsi="宋体" w:eastAsia="仿宋_GB2312" w:cs="宋体"/>
          <w:snapToGrid w:val="0"/>
          <w:color w:val="000000"/>
          <w:sz w:val="21"/>
          <w:szCs w:val="21"/>
          <w:lang w:val="en-US" w:eastAsia="zh-CN" w:bidi="ar-SA"/>
        </w:rPr>
        <w:t xml:space="preserve">       </w:t>
      </w:r>
      <w:r>
        <w:rPr>
          <w:rFonts w:ascii="仿宋_GB2312" w:hAnsi="宋体" w:eastAsia="仿宋_GB2312" w:cs="宋体"/>
          <w:snapToGrid w:val="0"/>
          <w:color w:val="000000"/>
          <w:sz w:val="21"/>
          <w:szCs w:val="21"/>
          <w:lang w:val="en-US" w:eastAsia="zh-CN" w:bidi="ar-SA"/>
        </w:rPr>
        <w:t xml:space="preserve"> 单位负责人签字：</w:t>
      </w:r>
      <w:r>
        <w:rPr>
          <w:rFonts w:ascii="仿宋_GB2312" w:hAnsi="宋体" w:eastAsia="仿宋_GB2312" w:cs="宋体"/>
          <w:snapToGrid w:val="0"/>
          <w:color w:val="000000"/>
          <w:sz w:val="35"/>
          <w:szCs w:val="35"/>
          <w:lang w:val="en-US" w:eastAsia="zh-CN" w:bidi="ar-SA"/>
        </w:rPr>
        <w:t xml:space="preserve"> </w:t>
      </w:r>
    </w:p>
    <w:p>
      <w:pPr>
        <w:spacing w:line="267" w:lineRule="auto"/>
        <w:ind w:firstLine="552"/>
        <w:jc w:val="both"/>
        <w:rPr>
          <w:rFonts w:hint="eastAsia" w:ascii="宋体" w:hAnsi="宋体" w:eastAsia="宋体" w:cs="宋体"/>
          <w:bCs/>
          <w:spacing w:val="-4"/>
          <w:kern w:val="0"/>
          <w:sz w:val="28"/>
          <w:szCs w:val="28"/>
          <w:lang w:eastAsia="zh-CN"/>
        </w:rPr>
      </w:pPr>
    </w:p>
    <w:p>
      <w:pPr>
        <w:spacing w:line="267" w:lineRule="auto"/>
        <w:ind w:firstLine="552"/>
        <w:jc w:val="both"/>
        <w:rPr>
          <w:rFonts w:hint="eastAsia" w:ascii="宋体" w:hAnsi="宋体" w:eastAsia="宋体" w:cs="宋体"/>
          <w:bCs/>
          <w:spacing w:val="-4"/>
          <w:kern w:val="0"/>
          <w:sz w:val="28"/>
          <w:szCs w:val="28"/>
          <w:lang w:eastAsia="zh-CN"/>
        </w:rPr>
      </w:pPr>
    </w:p>
    <w:sectPr>
      <w:footerReference r:id="rId5" w:type="default"/>
      <w:pgSz w:w="11900" w:h="16820"/>
      <w:pgMar w:top="1755" w:right="1227" w:bottom="1485" w:left="1011" w:header="0" w:footer="91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274"/>
      <w:rPr>
        <w:rFonts w:ascii="宋体" w:hAnsi="宋体" w:eastAsia="宋体" w:cs="宋体"/>
        <w:sz w:val="31"/>
        <w:szCs w:val="3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DU0ZmZlZTEyYzZiODMwNTZlM2VmMzMxNTExOTMxZTMifQ=="/>
  </w:docVars>
  <w:rsids>
    <w:rsidRoot w:val="00000000"/>
    <w:rsid w:val="01AF3811"/>
    <w:rsid w:val="01F43FE1"/>
    <w:rsid w:val="03795BF7"/>
    <w:rsid w:val="0473553C"/>
    <w:rsid w:val="069468A4"/>
    <w:rsid w:val="086E756B"/>
    <w:rsid w:val="09B57CB1"/>
    <w:rsid w:val="0A0916CC"/>
    <w:rsid w:val="0A484412"/>
    <w:rsid w:val="0ACF37E5"/>
    <w:rsid w:val="0B0B3459"/>
    <w:rsid w:val="0B400BC6"/>
    <w:rsid w:val="0B867103"/>
    <w:rsid w:val="0CD5351B"/>
    <w:rsid w:val="0D9000C1"/>
    <w:rsid w:val="0DA71A97"/>
    <w:rsid w:val="0E68228D"/>
    <w:rsid w:val="0EDD34DE"/>
    <w:rsid w:val="0EF1674C"/>
    <w:rsid w:val="103F3D25"/>
    <w:rsid w:val="10EC7A09"/>
    <w:rsid w:val="12353631"/>
    <w:rsid w:val="128F4AEF"/>
    <w:rsid w:val="129F7021"/>
    <w:rsid w:val="14072DAB"/>
    <w:rsid w:val="14EA425F"/>
    <w:rsid w:val="15276E52"/>
    <w:rsid w:val="15CC7E09"/>
    <w:rsid w:val="17716EB9"/>
    <w:rsid w:val="19D32FBC"/>
    <w:rsid w:val="1A613215"/>
    <w:rsid w:val="1E6A4395"/>
    <w:rsid w:val="1FA12306"/>
    <w:rsid w:val="20DB67D7"/>
    <w:rsid w:val="25557A3D"/>
    <w:rsid w:val="263C3EBB"/>
    <w:rsid w:val="266C303E"/>
    <w:rsid w:val="26EA5ED7"/>
    <w:rsid w:val="27A93B82"/>
    <w:rsid w:val="28F214DC"/>
    <w:rsid w:val="28F6715F"/>
    <w:rsid w:val="2AE00186"/>
    <w:rsid w:val="2C6B7F24"/>
    <w:rsid w:val="2C8E776E"/>
    <w:rsid w:val="2D114AA0"/>
    <w:rsid w:val="2DDB69E3"/>
    <w:rsid w:val="2FEE6EA1"/>
    <w:rsid w:val="306E7FE2"/>
    <w:rsid w:val="308216BE"/>
    <w:rsid w:val="32021BA7"/>
    <w:rsid w:val="34000F51"/>
    <w:rsid w:val="34FE1149"/>
    <w:rsid w:val="3538469A"/>
    <w:rsid w:val="36FF7BE6"/>
    <w:rsid w:val="393F42CA"/>
    <w:rsid w:val="3A550786"/>
    <w:rsid w:val="3B7A130F"/>
    <w:rsid w:val="3B9E74C5"/>
    <w:rsid w:val="3C9E41D8"/>
    <w:rsid w:val="3DA45043"/>
    <w:rsid w:val="3DE47EA4"/>
    <w:rsid w:val="3ED656D0"/>
    <w:rsid w:val="423436DA"/>
    <w:rsid w:val="42D45FD7"/>
    <w:rsid w:val="435D1C51"/>
    <w:rsid w:val="45C72B3E"/>
    <w:rsid w:val="460C6FF4"/>
    <w:rsid w:val="47FB487A"/>
    <w:rsid w:val="48C85951"/>
    <w:rsid w:val="48EC083D"/>
    <w:rsid w:val="493B06A8"/>
    <w:rsid w:val="4D6B6165"/>
    <w:rsid w:val="4F8B6063"/>
    <w:rsid w:val="4FB8497E"/>
    <w:rsid w:val="525A0984"/>
    <w:rsid w:val="52B72CCB"/>
    <w:rsid w:val="52FA3F96"/>
    <w:rsid w:val="53083527"/>
    <w:rsid w:val="534554F2"/>
    <w:rsid w:val="5429602E"/>
    <w:rsid w:val="55850F17"/>
    <w:rsid w:val="5672633E"/>
    <w:rsid w:val="56B91708"/>
    <w:rsid w:val="57AE6D93"/>
    <w:rsid w:val="58B06B3A"/>
    <w:rsid w:val="591E1CF6"/>
    <w:rsid w:val="5B992C85"/>
    <w:rsid w:val="5E1831B8"/>
    <w:rsid w:val="5E8E17F6"/>
    <w:rsid w:val="5F0B0627"/>
    <w:rsid w:val="5FB623A7"/>
    <w:rsid w:val="60F67B83"/>
    <w:rsid w:val="65C90F1B"/>
    <w:rsid w:val="679E2C96"/>
    <w:rsid w:val="681F351A"/>
    <w:rsid w:val="693F5EA4"/>
    <w:rsid w:val="6AA06A0F"/>
    <w:rsid w:val="6B4300E3"/>
    <w:rsid w:val="6D1E00BF"/>
    <w:rsid w:val="6E3851B0"/>
    <w:rsid w:val="723B4F4F"/>
    <w:rsid w:val="72AF4F68"/>
    <w:rsid w:val="75502DDF"/>
    <w:rsid w:val="777A2396"/>
    <w:rsid w:val="778154D2"/>
    <w:rsid w:val="79D97CE5"/>
    <w:rsid w:val="7ACE4BB2"/>
    <w:rsid w:val="7AD2535F"/>
    <w:rsid w:val="7D2D1C58"/>
    <w:rsid w:val="7ED677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4"/>
      <w:szCs w:val="34"/>
      <w:lang w:val="en-US" w:eastAsia="en-US" w:bidi="ar-SA"/>
    </w:rPr>
  </w:style>
  <w:style w:type="paragraph" w:styleId="3">
    <w:name w:val="footer"/>
    <w:autoRedefine/>
    <w:qFormat/>
    <w:uiPriority w:val="99"/>
    <w:pPr>
      <w:tabs>
        <w:tab w:val="center" w:pos="4153"/>
        <w:tab w:val="right" w:pos="8306"/>
      </w:tabs>
      <w:kinsoku w:val="0"/>
      <w:autoSpaceDE w:val="0"/>
      <w:autoSpaceDN w:val="0"/>
      <w:adjustRightInd w:val="0"/>
      <w:snapToGrid w:val="0"/>
      <w:spacing w:line="560" w:lineRule="exact"/>
      <w:textAlignment w:val="baseline"/>
    </w:pPr>
    <w:rPr>
      <w:rFonts w:ascii="Arial" w:hAnsi="Arial" w:eastAsia="Arial" w:cs="Arial"/>
      <w:snapToGrid w:val="0"/>
      <w:color w:val="000000"/>
      <w:sz w:val="18"/>
      <w:szCs w:val="18"/>
      <w:lang w:val="en-US" w:eastAsia="en-US" w:bidi="ar-SA"/>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Arial" w:hAnsi="Arial" w:eastAsia="Arial" w:cs="Arial"/>
      <w:sz w:val="21"/>
      <w:szCs w:val="21"/>
      <w:lang w:val="en-US" w:eastAsia="en-US" w:bidi="ar-SA"/>
    </w:rPr>
  </w:style>
  <w:style w:type="paragraph" w:styleId="9">
    <w:name w:val="List Paragraph"/>
    <w:autoRedefine/>
    <w:unhideWhenUsed/>
    <w:qFormat/>
    <w:uiPriority w:val="99"/>
    <w:pPr>
      <w:kinsoku w:val="0"/>
      <w:autoSpaceDE w:val="0"/>
      <w:autoSpaceDN w:val="0"/>
      <w:adjustRightInd w:val="0"/>
      <w:snapToGrid w:val="0"/>
      <w:ind w:firstLine="420" w:firstLineChars="200"/>
      <w:textAlignment w:val="baseline"/>
    </w:pPr>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1964</Words>
  <Characters>2332</Characters>
  <TotalTime>1</TotalTime>
  <ScaleCrop>false</ScaleCrop>
  <LinksUpToDate>false</LinksUpToDate>
  <CharactersWithSpaces>2430</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2024-04-19T21:25:00Z</dcterms:created>
  <dc:creator>Administrator</dc:creator>
  <cp:lastModifiedBy>企业用户_615845838</cp:lastModifiedBy>
  <cp:lastPrinted>2024-05-21T14:05:00Z</cp:lastPrinted>
  <dcterms:modified xsi:type="dcterms:W3CDTF">2024-07-04T08:43:20Z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2024-04-19T21:25:46Z</vt:filetime>
  </property>
  <property fmtid="{D5CDD505-2E9C-101B-9397-08002B2CF9AE}" pid="4" name="UsrData">
    <vt:lpwstr>662270d4e44a44001f699c5cwl</vt:lpwstr>
  </property>
  <property fmtid="{D5CDD505-2E9C-101B-9397-08002B2CF9AE}" pid="5" name="KSOProductBuildVer">
    <vt:lpwstr>2052-12.1.0.16929</vt:lpwstr>
  </property>
  <property fmtid="{D5CDD505-2E9C-101B-9397-08002B2CF9AE}" pid="6" name="ICV">
    <vt:lpwstr>A1E9AC54BF58440288AD196632C2A254_12</vt:lpwstr>
  </property>
</Properties>
</file>