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C800FC">
      <w:pPr>
        <w:spacing w:beforeLines="0" w:afterLines="0"/>
        <w:rPr>
          <w:rFonts w:hint="default"/>
          <w:sz w:val="2"/>
          <w:szCs w:val="24"/>
        </w:rPr>
      </w:pPr>
    </w:p>
    <w:tbl>
      <w:tblPr>
        <w:tblStyle w:val="6"/>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14:paraId="5C93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5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17B3FB2">
            <w:pPr>
              <w:spacing w:beforeLines="0" w:afterLines="0" w:line="1110" w:lineRule="exact"/>
              <w:ind w:left="20"/>
              <w:jc w:val="center"/>
              <w:rPr>
                <w:rFonts w:hint="eastAsia" w:ascii="微软雅黑" w:hAnsi="微软雅黑" w:eastAsia="微软雅黑"/>
                <w:b/>
                <w:sz w:val="84"/>
                <w:szCs w:val="24"/>
              </w:rPr>
            </w:pPr>
            <w:r>
              <w:rPr>
                <w:rFonts w:hint="eastAsia" w:ascii="微软雅黑" w:hAnsi="微软雅黑" w:eastAsia="微软雅黑"/>
                <w:b/>
                <w:sz w:val="84"/>
                <w:szCs w:val="24"/>
              </w:rPr>
              <w:t>岳阳市教育体育局本级2023年度</w:t>
            </w:r>
          </w:p>
          <w:p w14:paraId="39EA81D2">
            <w:pPr>
              <w:spacing w:beforeLines="0" w:afterLines="0" w:line="1110" w:lineRule="exact"/>
              <w:ind w:left="20"/>
              <w:jc w:val="center"/>
              <w:rPr>
                <w:rFonts w:hint="eastAsia" w:ascii="微软雅黑" w:hAnsi="微软雅黑" w:eastAsia="微软雅黑"/>
                <w:sz w:val="84"/>
                <w:szCs w:val="24"/>
              </w:rPr>
            </w:pPr>
            <w:r>
              <w:rPr>
                <w:rFonts w:hint="eastAsia" w:ascii="微软雅黑" w:hAnsi="微软雅黑" w:eastAsia="微软雅黑"/>
                <w:b/>
                <w:sz w:val="84"/>
                <w:szCs w:val="24"/>
              </w:rPr>
              <w:t>单位预算</w:t>
            </w:r>
          </w:p>
        </w:tc>
      </w:tr>
    </w:tbl>
    <w:p w14:paraId="0D623810">
      <w:pPr>
        <w:spacing w:beforeLines="0" w:afterLines="0" w:line="525" w:lineRule="exact"/>
        <w:ind w:left="20"/>
        <w:jc w:val="center"/>
        <w:rPr>
          <w:rFonts w:hint="eastAsia" w:ascii="Dialog" w:hAnsi="Dialog"/>
          <w:sz w:val="44"/>
          <w:szCs w:val="24"/>
        </w:rPr>
      </w:pPr>
      <w:r>
        <w:rPr>
          <w:rFonts w:hint="eastAsia" w:ascii="Dialog" w:hAnsi="Dialog"/>
          <w:sz w:val="44"/>
          <w:szCs w:val="24"/>
        </w:rPr>
        <w:br w:type="page"/>
      </w:r>
    </w:p>
    <w:tbl>
      <w:tblPr>
        <w:tblStyle w:val="6"/>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14:paraId="2283F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4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30AB4B0">
            <w:pPr>
              <w:spacing w:beforeLines="0" w:afterLines="0" w:line="525" w:lineRule="exact"/>
              <w:ind w:left="20"/>
              <w:jc w:val="center"/>
              <w:rPr>
                <w:rFonts w:hint="eastAsia" w:ascii="Dialog" w:hAnsi="Dialog"/>
                <w:sz w:val="44"/>
                <w:szCs w:val="24"/>
              </w:rPr>
            </w:pPr>
            <w:r>
              <w:rPr>
                <w:rFonts w:hint="eastAsia" w:ascii="Dialog" w:hAnsi="Dialog"/>
                <w:sz w:val="44"/>
                <w:szCs w:val="24"/>
              </w:rPr>
              <w:t>目录</w:t>
            </w:r>
          </w:p>
        </w:tc>
      </w:tr>
      <w:tr w14:paraId="6696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6AC03B4">
            <w:pPr>
              <w:spacing w:beforeLines="0" w:afterLines="0"/>
              <w:rPr>
                <w:rFonts w:hint="default"/>
                <w:sz w:val="24"/>
                <w:szCs w:val="24"/>
              </w:rPr>
            </w:pPr>
          </w:p>
        </w:tc>
      </w:tr>
      <w:tr w14:paraId="3115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DFF24BC">
            <w:pPr>
              <w:spacing w:beforeLines="0" w:afterLines="0" w:line="375" w:lineRule="exact"/>
              <w:ind w:left="20"/>
              <w:rPr>
                <w:rFonts w:hint="eastAsia" w:ascii="Dialog" w:hAnsi="Dialog"/>
                <w:sz w:val="32"/>
                <w:szCs w:val="24"/>
              </w:rPr>
            </w:pPr>
            <w:r>
              <w:rPr>
                <w:rFonts w:hint="eastAsia" w:ascii="Dialog" w:hAnsi="Dialog"/>
                <w:sz w:val="32"/>
                <w:szCs w:val="24"/>
              </w:rPr>
              <w:t>第一部分  2023年单位预算说明</w:t>
            </w:r>
          </w:p>
        </w:tc>
      </w:tr>
      <w:tr w14:paraId="6C45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4DAFE48">
            <w:pPr>
              <w:spacing w:beforeLines="0" w:afterLines="0" w:line="375" w:lineRule="exact"/>
              <w:ind w:left="20"/>
              <w:rPr>
                <w:rFonts w:hint="eastAsia" w:ascii="Dialog" w:hAnsi="Dialog"/>
                <w:sz w:val="32"/>
                <w:szCs w:val="24"/>
              </w:rPr>
            </w:pPr>
            <w:r>
              <w:rPr>
                <w:rFonts w:hint="eastAsia" w:ascii="Dialog" w:hAnsi="Dialog"/>
                <w:sz w:val="32"/>
                <w:szCs w:val="24"/>
              </w:rPr>
              <w:t>第二部分  2023年单位预算公开表格</w:t>
            </w:r>
          </w:p>
        </w:tc>
      </w:tr>
      <w:tr w14:paraId="18B9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4AD7E4C">
            <w:pPr>
              <w:spacing w:beforeLines="0" w:afterLines="0" w:line="375" w:lineRule="exact"/>
              <w:ind w:left="20"/>
              <w:rPr>
                <w:rFonts w:hint="eastAsia" w:ascii="Dialog" w:hAnsi="Dialog"/>
                <w:sz w:val="32"/>
                <w:szCs w:val="24"/>
              </w:rPr>
            </w:pPr>
            <w:r>
              <w:rPr>
                <w:rFonts w:hint="eastAsia" w:ascii="Dialog" w:hAnsi="Dialog"/>
                <w:sz w:val="32"/>
                <w:szCs w:val="24"/>
              </w:rPr>
              <w:t>1、收支总表</w:t>
            </w:r>
          </w:p>
        </w:tc>
      </w:tr>
      <w:tr w14:paraId="3526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B20570D">
            <w:pPr>
              <w:spacing w:beforeLines="0" w:afterLines="0" w:line="375" w:lineRule="exact"/>
              <w:ind w:left="20"/>
              <w:rPr>
                <w:rFonts w:hint="eastAsia" w:ascii="Dialog" w:hAnsi="Dialog"/>
                <w:sz w:val="32"/>
                <w:szCs w:val="24"/>
              </w:rPr>
            </w:pPr>
            <w:r>
              <w:rPr>
                <w:rFonts w:hint="eastAsia" w:ascii="Dialog" w:hAnsi="Dialog"/>
                <w:sz w:val="32"/>
                <w:szCs w:val="24"/>
              </w:rPr>
              <w:t>2、收入总表</w:t>
            </w:r>
          </w:p>
        </w:tc>
      </w:tr>
      <w:tr w14:paraId="11EF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9927F38">
            <w:pPr>
              <w:spacing w:beforeLines="0" w:afterLines="0" w:line="375" w:lineRule="exact"/>
              <w:ind w:left="20"/>
              <w:rPr>
                <w:rFonts w:hint="eastAsia" w:ascii="Dialog" w:hAnsi="Dialog"/>
                <w:sz w:val="32"/>
                <w:szCs w:val="24"/>
              </w:rPr>
            </w:pPr>
            <w:r>
              <w:rPr>
                <w:rFonts w:hint="eastAsia" w:ascii="Dialog" w:hAnsi="Dialog"/>
                <w:sz w:val="32"/>
                <w:szCs w:val="24"/>
              </w:rPr>
              <w:t>3、支出总表</w:t>
            </w:r>
          </w:p>
        </w:tc>
      </w:tr>
      <w:tr w14:paraId="0DD7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BBC6DE6">
            <w:pPr>
              <w:spacing w:beforeLines="0" w:afterLines="0" w:line="375" w:lineRule="exact"/>
              <w:ind w:left="20"/>
              <w:rPr>
                <w:rFonts w:hint="eastAsia" w:ascii="Dialog" w:hAnsi="Dialog"/>
                <w:sz w:val="32"/>
                <w:szCs w:val="24"/>
              </w:rPr>
            </w:pPr>
            <w:r>
              <w:rPr>
                <w:rFonts w:hint="eastAsia" w:ascii="Dialog" w:hAnsi="Dialog"/>
                <w:sz w:val="32"/>
                <w:szCs w:val="24"/>
              </w:rPr>
              <w:t>4、支出预算分类汇总表（按政府预算经济分类）</w:t>
            </w:r>
          </w:p>
        </w:tc>
      </w:tr>
      <w:tr w14:paraId="08C3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CB34590">
            <w:pPr>
              <w:spacing w:beforeLines="0" w:afterLines="0" w:line="375" w:lineRule="exact"/>
              <w:ind w:left="20"/>
              <w:rPr>
                <w:rFonts w:hint="eastAsia" w:ascii="Dialog" w:hAnsi="Dialog"/>
                <w:sz w:val="32"/>
                <w:szCs w:val="24"/>
              </w:rPr>
            </w:pPr>
            <w:r>
              <w:rPr>
                <w:rFonts w:hint="eastAsia" w:ascii="Dialog" w:hAnsi="Dialog"/>
                <w:sz w:val="32"/>
                <w:szCs w:val="24"/>
              </w:rPr>
              <w:t>5、支出预算分类汇总表（按部门预算经济分类）</w:t>
            </w:r>
          </w:p>
        </w:tc>
      </w:tr>
      <w:tr w14:paraId="3386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5BFD1F5">
            <w:pPr>
              <w:spacing w:beforeLines="0" w:afterLines="0" w:line="375" w:lineRule="exact"/>
              <w:ind w:left="20"/>
              <w:rPr>
                <w:rFonts w:hint="eastAsia" w:ascii="Dialog" w:hAnsi="Dialog"/>
                <w:sz w:val="32"/>
                <w:szCs w:val="24"/>
              </w:rPr>
            </w:pPr>
            <w:r>
              <w:rPr>
                <w:rFonts w:hint="eastAsia" w:ascii="Dialog" w:hAnsi="Dialog"/>
                <w:sz w:val="32"/>
                <w:szCs w:val="24"/>
              </w:rPr>
              <w:t>6、财政拨款收支总表</w:t>
            </w:r>
          </w:p>
        </w:tc>
      </w:tr>
      <w:tr w14:paraId="4F0A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C43EC2B">
            <w:pPr>
              <w:spacing w:beforeLines="0" w:afterLines="0" w:line="375" w:lineRule="exact"/>
              <w:ind w:left="20"/>
              <w:rPr>
                <w:rFonts w:hint="eastAsia" w:ascii="Dialog" w:hAnsi="Dialog"/>
                <w:sz w:val="32"/>
                <w:szCs w:val="24"/>
              </w:rPr>
            </w:pPr>
            <w:r>
              <w:rPr>
                <w:rFonts w:hint="eastAsia" w:ascii="Dialog" w:hAnsi="Dialog"/>
                <w:sz w:val="32"/>
                <w:szCs w:val="24"/>
              </w:rPr>
              <w:t>7、一般公共预算支出表</w:t>
            </w:r>
          </w:p>
        </w:tc>
      </w:tr>
      <w:tr w14:paraId="2DBC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049183A">
            <w:pPr>
              <w:spacing w:beforeLines="0" w:afterLines="0" w:line="375" w:lineRule="exact"/>
              <w:ind w:left="20"/>
              <w:rPr>
                <w:rFonts w:hint="eastAsia" w:ascii="Dialog" w:hAnsi="Dialog"/>
                <w:sz w:val="32"/>
                <w:szCs w:val="24"/>
              </w:rPr>
            </w:pPr>
            <w:r>
              <w:rPr>
                <w:rFonts w:hint="eastAsia" w:ascii="Dialog" w:hAnsi="Dialog"/>
                <w:sz w:val="32"/>
                <w:szCs w:val="24"/>
              </w:rPr>
              <w:t>8、一般公共预算基本支出表-人员经费（工资福利支出）（按政府预算经济分类）</w:t>
            </w:r>
          </w:p>
        </w:tc>
      </w:tr>
      <w:tr w14:paraId="43AA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51E2650">
            <w:pPr>
              <w:spacing w:beforeLines="0" w:afterLines="0" w:line="375" w:lineRule="exact"/>
              <w:ind w:left="20"/>
              <w:rPr>
                <w:rFonts w:hint="eastAsia" w:ascii="Dialog" w:hAnsi="Dialog"/>
                <w:sz w:val="32"/>
                <w:szCs w:val="24"/>
              </w:rPr>
            </w:pPr>
            <w:r>
              <w:rPr>
                <w:rFonts w:hint="eastAsia" w:ascii="Dialog" w:hAnsi="Dialog"/>
                <w:sz w:val="32"/>
                <w:szCs w:val="24"/>
              </w:rPr>
              <w:t>9、一般公共预算基本支出表-人员经费（工资福利支出）（按部门预算经济分类）</w:t>
            </w:r>
          </w:p>
        </w:tc>
      </w:tr>
      <w:tr w14:paraId="3D95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394006F">
            <w:pPr>
              <w:spacing w:beforeLines="0" w:afterLines="0" w:line="375" w:lineRule="exact"/>
              <w:ind w:left="20"/>
              <w:rPr>
                <w:rFonts w:hint="eastAsia" w:ascii="Dialog" w:hAnsi="Dialog"/>
                <w:sz w:val="32"/>
                <w:szCs w:val="24"/>
              </w:rPr>
            </w:pPr>
            <w:r>
              <w:rPr>
                <w:rFonts w:hint="eastAsia" w:ascii="Dialog" w:hAnsi="Dialog"/>
                <w:sz w:val="32"/>
                <w:szCs w:val="24"/>
              </w:rPr>
              <w:t>10、一般公共预算基本支出表-人员经费（对个人和家庭的补助）（按政府预算经济分类）</w:t>
            </w:r>
          </w:p>
        </w:tc>
      </w:tr>
      <w:tr w14:paraId="11DA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09255E1">
            <w:pPr>
              <w:spacing w:beforeLines="0" w:afterLines="0" w:line="375" w:lineRule="exact"/>
              <w:ind w:left="20"/>
              <w:rPr>
                <w:rFonts w:hint="eastAsia" w:ascii="Dialog" w:hAnsi="Dialog"/>
                <w:sz w:val="32"/>
                <w:szCs w:val="24"/>
              </w:rPr>
            </w:pPr>
            <w:r>
              <w:rPr>
                <w:rFonts w:hint="eastAsia" w:ascii="Dialog" w:hAnsi="Dialog"/>
                <w:sz w:val="32"/>
                <w:szCs w:val="24"/>
              </w:rPr>
              <w:t>11、一般公共预算基本支出表-人员经费（对个人和家庭的补助）（按部门预算经济分类）</w:t>
            </w:r>
          </w:p>
        </w:tc>
      </w:tr>
      <w:tr w14:paraId="4A9E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53E0F19">
            <w:pPr>
              <w:spacing w:beforeLines="0" w:afterLines="0" w:line="375" w:lineRule="exact"/>
              <w:ind w:left="20"/>
              <w:rPr>
                <w:rFonts w:hint="eastAsia" w:ascii="Dialog" w:hAnsi="Dialog"/>
                <w:sz w:val="32"/>
                <w:szCs w:val="24"/>
              </w:rPr>
            </w:pPr>
            <w:r>
              <w:rPr>
                <w:rFonts w:hint="eastAsia" w:ascii="Dialog" w:hAnsi="Dialog"/>
                <w:sz w:val="32"/>
                <w:szCs w:val="24"/>
              </w:rPr>
              <w:t>12、一般公共预算基本支出表-公用经费（商品和服务支出）（按政府预算经济分类）</w:t>
            </w:r>
          </w:p>
        </w:tc>
      </w:tr>
      <w:tr w14:paraId="0D8F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B82AC7A">
            <w:pPr>
              <w:spacing w:beforeLines="0" w:afterLines="0" w:line="375" w:lineRule="exact"/>
              <w:ind w:left="20"/>
              <w:rPr>
                <w:rFonts w:hint="eastAsia" w:ascii="Dialog" w:hAnsi="Dialog"/>
                <w:sz w:val="32"/>
                <w:szCs w:val="24"/>
              </w:rPr>
            </w:pPr>
            <w:r>
              <w:rPr>
                <w:rFonts w:hint="eastAsia" w:ascii="Dialog" w:hAnsi="Dialog"/>
                <w:sz w:val="32"/>
                <w:szCs w:val="24"/>
              </w:rPr>
              <w:t>13、一般公共预算基本支出表-公用经费（商品和服务支出）（按部门预算经济分类）</w:t>
            </w:r>
          </w:p>
        </w:tc>
      </w:tr>
      <w:tr w14:paraId="1777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CCFD572">
            <w:pPr>
              <w:spacing w:beforeLines="0" w:afterLines="0" w:line="375" w:lineRule="exact"/>
              <w:ind w:left="20"/>
              <w:rPr>
                <w:rFonts w:hint="eastAsia" w:ascii="Dialog" w:hAnsi="Dialog"/>
                <w:sz w:val="32"/>
                <w:szCs w:val="24"/>
              </w:rPr>
            </w:pPr>
            <w:r>
              <w:rPr>
                <w:rFonts w:hint="eastAsia" w:ascii="Dialog" w:hAnsi="Dialog"/>
                <w:sz w:val="32"/>
                <w:szCs w:val="24"/>
              </w:rPr>
              <w:t>14、一般公共预算“三公”经费支出表</w:t>
            </w:r>
          </w:p>
        </w:tc>
      </w:tr>
      <w:tr w14:paraId="2172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B733782">
            <w:pPr>
              <w:spacing w:beforeLines="0" w:afterLines="0" w:line="375" w:lineRule="exact"/>
              <w:ind w:left="20"/>
              <w:rPr>
                <w:rFonts w:hint="eastAsia" w:ascii="Dialog" w:hAnsi="Dialog"/>
                <w:sz w:val="32"/>
                <w:szCs w:val="24"/>
              </w:rPr>
            </w:pPr>
            <w:r>
              <w:rPr>
                <w:rFonts w:hint="eastAsia" w:ascii="Dialog" w:hAnsi="Dialog"/>
                <w:sz w:val="32"/>
                <w:szCs w:val="24"/>
              </w:rPr>
              <w:t>15、政府性基金预算支出表</w:t>
            </w:r>
          </w:p>
        </w:tc>
      </w:tr>
      <w:tr w14:paraId="3931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5A6C5A9">
            <w:pPr>
              <w:spacing w:beforeLines="0" w:afterLines="0" w:line="375" w:lineRule="exact"/>
              <w:ind w:left="20"/>
              <w:rPr>
                <w:rFonts w:hint="eastAsia" w:ascii="Dialog" w:hAnsi="Dialog"/>
                <w:sz w:val="32"/>
                <w:szCs w:val="24"/>
              </w:rPr>
            </w:pPr>
            <w:r>
              <w:rPr>
                <w:rFonts w:hint="eastAsia" w:ascii="Dialog" w:hAnsi="Dialog"/>
                <w:sz w:val="32"/>
                <w:szCs w:val="24"/>
              </w:rPr>
              <w:t>16、政府性基金预算支出分类汇总表（按政府预算经济分类）</w:t>
            </w:r>
          </w:p>
        </w:tc>
      </w:tr>
      <w:tr w14:paraId="7274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37B1E11">
            <w:pPr>
              <w:spacing w:beforeLines="0" w:afterLines="0" w:line="375" w:lineRule="exact"/>
              <w:ind w:left="20"/>
              <w:rPr>
                <w:rFonts w:hint="eastAsia" w:ascii="Dialog" w:hAnsi="Dialog"/>
                <w:sz w:val="32"/>
                <w:szCs w:val="24"/>
              </w:rPr>
            </w:pPr>
            <w:r>
              <w:rPr>
                <w:rFonts w:hint="eastAsia" w:ascii="Dialog" w:hAnsi="Dialog"/>
                <w:sz w:val="32"/>
                <w:szCs w:val="24"/>
              </w:rPr>
              <w:t>17、政府性基金预算支出分类汇总表（按部门预算经济分类）</w:t>
            </w:r>
          </w:p>
        </w:tc>
      </w:tr>
      <w:tr w14:paraId="57A4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FB285D1">
            <w:pPr>
              <w:spacing w:beforeLines="0" w:afterLines="0" w:line="375" w:lineRule="exact"/>
              <w:ind w:left="20"/>
              <w:rPr>
                <w:rFonts w:hint="eastAsia" w:ascii="Dialog" w:hAnsi="Dialog"/>
                <w:sz w:val="32"/>
                <w:szCs w:val="24"/>
              </w:rPr>
            </w:pPr>
            <w:r>
              <w:rPr>
                <w:rFonts w:hint="eastAsia" w:ascii="Dialog" w:hAnsi="Dialog"/>
                <w:sz w:val="32"/>
                <w:szCs w:val="24"/>
              </w:rPr>
              <w:t>18、国有资本经营预算支出表</w:t>
            </w:r>
          </w:p>
        </w:tc>
      </w:tr>
      <w:tr w14:paraId="7053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5D2B07F">
            <w:pPr>
              <w:spacing w:beforeLines="0" w:afterLines="0" w:line="375" w:lineRule="exact"/>
              <w:ind w:left="20"/>
              <w:rPr>
                <w:rFonts w:hint="eastAsia" w:ascii="Dialog" w:hAnsi="Dialog"/>
                <w:sz w:val="32"/>
                <w:szCs w:val="24"/>
              </w:rPr>
            </w:pPr>
            <w:r>
              <w:rPr>
                <w:rFonts w:hint="eastAsia" w:ascii="Dialog" w:hAnsi="Dialog"/>
                <w:sz w:val="32"/>
                <w:szCs w:val="24"/>
              </w:rPr>
              <w:t>19、财政专户管理资金预算支出表</w:t>
            </w:r>
          </w:p>
        </w:tc>
      </w:tr>
      <w:tr w14:paraId="7779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DCF40F7">
            <w:pPr>
              <w:spacing w:beforeLines="0" w:afterLines="0" w:line="375" w:lineRule="exact"/>
              <w:ind w:left="20"/>
              <w:rPr>
                <w:rFonts w:hint="eastAsia" w:ascii="Dialog" w:hAnsi="Dialog"/>
                <w:sz w:val="32"/>
                <w:szCs w:val="24"/>
              </w:rPr>
            </w:pPr>
            <w:r>
              <w:rPr>
                <w:rFonts w:hint="eastAsia" w:ascii="Dialog" w:hAnsi="Dialog"/>
                <w:sz w:val="32"/>
                <w:szCs w:val="24"/>
              </w:rPr>
              <w:t>20、专项资金预算汇总表</w:t>
            </w:r>
          </w:p>
        </w:tc>
      </w:tr>
      <w:tr w14:paraId="7F43D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2B7B17D">
            <w:pPr>
              <w:spacing w:beforeLines="0" w:afterLines="0" w:line="375" w:lineRule="exact"/>
              <w:ind w:left="20"/>
              <w:rPr>
                <w:rFonts w:hint="eastAsia" w:ascii="Dialog" w:hAnsi="Dialog"/>
                <w:sz w:val="32"/>
                <w:szCs w:val="24"/>
              </w:rPr>
            </w:pPr>
            <w:r>
              <w:rPr>
                <w:rFonts w:hint="eastAsia" w:ascii="Dialog" w:hAnsi="Dialog"/>
                <w:sz w:val="32"/>
                <w:szCs w:val="24"/>
              </w:rPr>
              <w:t>21、项目支出绩效目标表</w:t>
            </w:r>
          </w:p>
        </w:tc>
      </w:tr>
      <w:tr w14:paraId="7A82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BE1D990">
            <w:pPr>
              <w:spacing w:beforeLines="0" w:afterLines="0" w:line="375" w:lineRule="exact"/>
              <w:ind w:left="20"/>
              <w:rPr>
                <w:rFonts w:hint="eastAsia" w:ascii="Dialog" w:hAnsi="Dialog"/>
                <w:sz w:val="32"/>
                <w:szCs w:val="24"/>
              </w:rPr>
            </w:pPr>
            <w:r>
              <w:rPr>
                <w:rFonts w:hint="eastAsia" w:ascii="Dialog" w:hAnsi="Dialog"/>
                <w:sz w:val="32"/>
                <w:szCs w:val="24"/>
              </w:rPr>
              <w:t>22、单位整体支出绩效目标表</w:t>
            </w:r>
          </w:p>
        </w:tc>
      </w:tr>
      <w:tr w14:paraId="1C0D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6FEF717">
            <w:pPr>
              <w:spacing w:beforeLines="0" w:afterLines="0" w:line="375" w:lineRule="exact"/>
              <w:ind w:left="20"/>
              <w:rPr>
                <w:rFonts w:hint="eastAsia" w:ascii="Dialog" w:hAnsi="Dialog"/>
                <w:sz w:val="32"/>
                <w:szCs w:val="24"/>
              </w:rPr>
            </w:pPr>
            <w:r>
              <w:rPr>
                <w:rFonts w:hint="eastAsia" w:ascii="Dialog" w:hAnsi="Dialog"/>
                <w:sz w:val="32"/>
                <w:szCs w:val="24"/>
              </w:rPr>
              <w:t>23、一般公共预算基本支出表</w:t>
            </w:r>
          </w:p>
        </w:tc>
      </w:tr>
      <w:tr w14:paraId="38D6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A1786BF">
            <w:pPr>
              <w:spacing w:beforeLines="0" w:afterLines="0" w:line="375" w:lineRule="exact"/>
              <w:ind w:left="20"/>
              <w:rPr>
                <w:rFonts w:hint="eastAsia" w:ascii="Dialog" w:hAnsi="Dialog"/>
                <w:color w:val="FF0000"/>
                <w:sz w:val="32"/>
                <w:szCs w:val="24"/>
              </w:rPr>
            </w:pPr>
            <w:r>
              <w:rPr>
                <w:rFonts w:hint="eastAsia" w:ascii="Dialog" w:hAnsi="Dialog"/>
                <w:color w:val="FF0000"/>
                <w:sz w:val="32"/>
                <w:szCs w:val="24"/>
              </w:rPr>
              <w:t>注：以上单位预算公开报表中，空表表示本单位无相关收支情况。</w:t>
            </w:r>
          </w:p>
        </w:tc>
      </w:tr>
      <w:tr w14:paraId="3792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89B8B24">
            <w:pPr>
              <w:spacing w:beforeLines="0" w:afterLines="0"/>
              <w:rPr>
                <w:rFonts w:hint="default"/>
                <w:sz w:val="24"/>
                <w:szCs w:val="24"/>
              </w:rPr>
            </w:pPr>
          </w:p>
        </w:tc>
      </w:tr>
      <w:tr w14:paraId="0EA7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AF1C118">
            <w:pPr>
              <w:spacing w:beforeLines="0" w:afterLines="0"/>
              <w:rPr>
                <w:rFonts w:hint="default"/>
                <w:sz w:val="24"/>
                <w:szCs w:val="24"/>
              </w:rPr>
            </w:pPr>
          </w:p>
        </w:tc>
      </w:tr>
    </w:tbl>
    <w:p w14:paraId="5BC23C96">
      <w:pPr>
        <w:spacing w:beforeLines="0" w:afterLines="0" w:line="375" w:lineRule="exact"/>
        <w:ind w:left="20"/>
        <w:jc w:val="center"/>
        <w:rPr>
          <w:rFonts w:hint="eastAsia" w:ascii="Dialog" w:hAnsi="Dialog"/>
          <w:sz w:val="32"/>
          <w:szCs w:val="24"/>
        </w:rPr>
      </w:pPr>
      <w:r>
        <w:rPr>
          <w:rFonts w:hint="eastAsia" w:ascii="Dialog" w:hAnsi="Dialog"/>
          <w:sz w:val="32"/>
          <w:szCs w:val="24"/>
        </w:rPr>
        <w:br w:type="page"/>
      </w:r>
    </w:p>
    <w:tbl>
      <w:tblPr>
        <w:tblStyle w:val="6"/>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14:paraId="1E19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30A159F">
            <w:pPr>
              <w:spacing w:beforeLines="0" w:afterLines="0" w:line="375" w:lineRule="exact"/>
              <w:ind w:left="20"/>
              <w:jc w:val="center"/>
              <w:rPr>
                <w:rFonts w:hint="eastAsia" w:ascii="Dialog" w:hAnsi="Dialog"/>
                <w:sz w:val="32"/>
                <w:szCs w:val="24"/>
              </w:rPr>
            </w:pPr>
            <w:r>
              <w:rPr>
                <w:rFonts w:hint="eastAsia" w:ascii="Dialog" w:hAnsi="Dialog"/>
                <w:sz w:val="32"/>
                <w:szCs w:val="24"/>
              </w:rPr>
              <w:t>第一部分  2023年单位预算说明</w:t>
            </w:r>
          </w:p>
        </w:tc>
      </w:tr>
      <w:tr w14:paraId="224F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E47BDBA">
            <w:pPr>
              <w:spacing w:beforeLines="0" w:afterLines="0"/>
              <w:rPr>
                <w:rFonts w:hint="default"/>
                <w:sz w:val="24"/>
                <w:szCs w:val="24"/>
              </w:rPr>
            </w:pPr>
          </w:p>
        </w:tc>
      </w:tr>
      <w:tr w14:paraId="2C52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D280FB3">
            <w:pPr>
              <w:spacing w:beforeLines="0" w:afterLines="0" w:line="375" w:lineRule="exact"/>
              <w:ind w:left="20"/>
              <w:rPr>
                <w:rFonts w:hint="eastAsia" w:ascii="Dialog" w:hAnsi="Dialog"/>
                <w:sz w:val="32"/>
                <w:szCs w:val="24"/>
              </w:rPr>
            </w:pPr>
            <w:r>
              <w:rPr>
                <w:rFonts w:hint="eastAsia" w:ascii="Dialog" w:hAnsi="Dialog"/>
                <w:sz w:val="32"/>
                <w:szCs w:val="24"/>
              </w:rPr>
              <w:t xml:space="preserve">  一、单位基本概况</w:t>
            </w:r>
          </w:p>
        </w:tc>
      </w:tr>
      <w:tr w14:paraId="3F76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DC60679">
            <w:pPr>
              <w:spacing w:beforeLines="0" w:afterLines="0" w:line="375" w:lineRule="exact"/>
              <w:ind w:left="20"/>
              <w:rPr>
                <w:rFonts w:hint="eastAsia" w:ascii="宋体" w:hAnsi="宋体"/>
                <w:sz w:val="32"/>
                <w:szCs w:val="24"/>
              </w:rPr>
            </w:pPr>
            <w:r>
              <w:rPr>
                <w:rFonts w:hint="eastAsia" w:ascii="宋体" w:hAnsi="宋体"/>
                <w:sz w:val="32"/>
                <w:szCs w:val="24"/>
              </w:rPr>
              <w:t xml:space="preserve">  （一）职能职责</w:t>
            </w:r>
          </w:p>
        </w:tc>
      </w:tr>
      <w:tr w14:paraId="7132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ADD16BF">
            <w:pPr>
              <w:pStyle w:val="8"/>
              <w:spacing w:beforeLines="0" w:afterLines="0"/>
              <w:ind w:left="0" w:firstLine="640"/>
              <w:rPr>
                <w:rFonts w:hint="eastAsia" w:ascii="宋体" w:hAnsi="宋体" w:cs="Times New Roman"/>
                <w:sz w:val="32"/>
                <w:szCs w:val="24"/>
              </w:rPr>
            </w:pPr>
            <w:r>
              <w:rPr>
                <w:rFonts w:hint="eastAsia" w:ascii="宋体" w:hAnsi="宋体" w:cs="Times New Roman"/>
                <w:sz w:val="32"/>
                <w:szCs w:val="24"/>
              </w:rPr>
              <w:t>贯彻落实国家、省关于教育体育工作的法律、法规和方针政策，统筹规划和协调管理全市各级各类教育体育事业，负责拟订全市教育体育事业发展战略和规划、实施办法、年度计划和体制改革方案，并组织实施。指导教育教学研究和改革，负责教育体育基本信息的统计、分析和发布，指导全市教育体育系统精神文明建设工作。</w:t>
            </w:r>
          </w:p>
        </w:tc>
      </w:tr>
      <w:tr w14:paraId="7E9D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8629BC1">
            <w:pPr>
              <w:spacing w:beforeLines="0" w:afterLines="0" w:line="375" w:lineRule="exact"/>
              <w:ind w:left="20"/>
              <w:rPr>
                <w:rFonts w:hint="eastAsia" w:ascii="宋体" w:hAnsi="宋体" w:cs="Times New Roman"/>
                <w:sz w:val="32"/>
                <w:szCs w:val="24"/>
              </w:rPr>
            </w:pPr>
            <w:r>
              <w:rPr>
                <w:rFonts w:hint="eastAsia" w:ascii="宋体" w:hAnsi="宋体" w:cs="Times New Roman"/>
                <w:sz w:val="32"/>
                <w:szCs w:val="24"/>
              </w:rPr>
              <w:t xml:space="preserve">  （二）机构设置</w:t>
            </w:r>
          </w:p>
        </w:tc>
      </w:tr>
      <w:tr w14:paraId="3396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0BE3BCE">
            <w:pPr>
              <w:spacing w:beforeLines="0" w:afterLines="0" w:line="375" w:lineRule="exact"/>
              <w:ind w:left="20"/>
              <w:rPr>
                <w:rFonts w:hint="eastAsia" w:ascii="宋体" w:hAnsi="宋体" w:cs="Times New Roman"/>
                <w:sz w:val="32"/>
                <w:szCs w:val="24"/>
                <w:lang w:val="en-US" w:eastAsia="zh-CN"/>
              </w:rPr>
            </w:pPr>
            <w:r>
              <w:rPr>
                <w:rFonts w:hint="eastAsia" w:ascii="宋体" w:hAnsi="宋体" w:cs="Times New Roman"/>
                <w:sz w:val="32"/>
                <w:szCs w:val="24"/>
              </w:rPr>
              <w:t xml:space="preserve">    市教育体育局设18个内设机构。办公室、基础教育科、职业教育和成人教育科、学前教育科、民办教育科、政策法规科、人事科、计划财务科、安全管理科、教师工作科、青少年体育和竞赛训练科、群众体育科、督导室、信息管理科、体育产业管理科、审计科及校外教育培训监管科、综调室</w:t>
            </w:r>
            <w:r>
              <w:rPr>
                <w:rFonts w:hint="eastAsia" w:ascii="宋体" w:hAnsi="宋体" w:cs="Times New Roman"/>
                <w:sz w:val="32"/>
                <w:szCs w:val="24"/>
                <w:lang w:eastAsia="zh-CN"/>
              </w:rPr>
              <w:t>。</w:t>
            </w:r>
            <w:r>
              <w:rPr>
                <w:rFonts w:hint="eastAsia" w:ascii="宋体" w:hAnsi="宋体" w:cs="Times New Roman"/>
                <w:sz w:val="32"/>
                <w:szCs w:val="24"/>
                <w:lang w:val="en-US" w:eastAsia="zh-CN"/>
              </w:rPr>
              <w:t>行政编制数54个，事业编制35个，实际行政编制在职50人，事业编制在职31人，离退休干部117人。</w:t>
            </w:r>
          </w:p>
        </w:tc>
      </w:tr>
      <w:tr w14:paraId="56DFE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2901FE3">
            <w:pPr>
              <w:spacing w:beforeLines="0" w:afterLines="0" w:line="375" w:lineRule="exact"/>
              <w:ind w:left="20"/>
              <w:rPr>
                <w:rFonts w:hint="eastAsia" w:ascii="宋体" w:hAnsi="宋体" w:cs="Times New Roman"/>
                <w:sz w:val="32"/>
                <w:szCs w:val="24"/>
              </w:rPr>
            </w:pPr>
            <w:r>
              <w:rPr>
                <w:rFonts w:hint="eastAsia" w:ascii="宋体" w:hAnsi="宋体" w:cs="Times New Roman"/>
                <w:sz w:val="32"/>
                <w:szCs w:val="24"/>
              </w:rPr>
              <w:t xml:space="preserve">  二、单位预算单位构成</w:t>
            </w:r>
          </w:p>
        </w:tc>
      </w:tr>
      <w:tr w14:paraId="7356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F24DC7D">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本单位预算仅含本级预算。</w:t>
            </w:r>
          </w:p>
        </w:tc>
      </w:tr>
      <w:tr w14:paraId="23144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5E629EE">
            <w:pPr>
              <w:spacing w:beforeLines="0" w:afterLines="0" w:line="375" w:lineRule="exact"/>
              <w:ind w:left="20"/>
              <w:rPr>
                <w:rFonts w:hint="eastAsia" w:ascii="Dialog" w:hAnsi="Dialog"/>
                <w:sz w:val="32"/>
                <w:szCs w:val="24"/>
              </w:rPr>
            </w:pPr>
            <w:r>
              <w:rPr>
                <w:rFonts w:hint="eastAsia" w:ascii="Dialog" w:hAnsi="Dialog"/>
                <w:sz w:val="32"/>
                <w:szCs w:val="24"/>
              </w:rPr>
              <w:t xml:space="preserve">  三、单位收支总体情况</w:t>
            </w:r>
          </w:p>
        </w:tc>
      </w:tr>
      <w:tr w14:paraId="58C8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DECDED6">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2023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14:paraId="648F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BD93FBF">
            <w:pPr>
              <w:spacing w:beforeLines="0" w:afterLines="0" w:line="375" w:lineRule="exact"/>
              <w:ind w:left="20"/>
              <w:rPr>
                <w:rFonts w:hint="eastAsia" w:ascii="Dialog" w:hAnsi="Dialog"/>
                <w:sz w:val="32"/>
                <w:szCs w:val="24"/>
              </w:rPr>
            </w:pPr>
            <w:r>
              <w:rPr>
                <w:rFonts w:hint="eastAsia" w:ascii="Dialog" w:hAnsi="Dialog"/>
                <w:sz w:val="32"/>
                <w:szCs w:val="24"/>
              </w:rPr>
              <w:t xml:space="preserve">  （一）收入预算</w:t>
            </w:r>
          </w:p>
        </w:tc>
      </w:tr>
      <w:tr w14:paraId="53F7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22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E913374">
            <w:pPr>
              <w:widowControl/>
              <w:spacing w:beforeLines="0" w:afterLines="0"/>
              <w:ind w:firstLine="640" w:firstLineChars="200"/>
              <w:rPr>
                <w:rFonts w:hint="eastAsia" w:ascii="宋体" w:hAnsi="宋体" w:cs="Times New Roman"/>
                <w:sz w:val="32"/>
                <w:szCs w:val="24"/>
              </w:rPr>
            </w:pPr>
            <w:r>
              <w:rPr>
                <w:rFonts w:hint="eastAsia" w:ascii="宋体" w:hAnsi="宋体"/>
                <w:sz w:val="32"/>
                <w:szCs w:val="24"/>
              </w:rPr>
              <w:t xml:space="preserve">  包括一般公共预算、政府性基金、国有资本经营预算等财政拨款收入，以及经营收入、事业收入等单位资金。2023年度本单位收入预算3146.93万元，其中，一般公共</w:t>
            </w:r>
            <w:r>
              <w:rPr>
                <w:rFonts w:hint="eastAsia" w:ascii="宋体" w:hAnsi="宋体" w:cs="Times New Roman"/>
                <w:sz w:val="32"/>
                <w:szCs w:val="24"/>
              </w:rPr>
              <w:t>预算拨款3146.93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单位2023年收入较去年增加337.69万元，主要是因为财政将原审批专项经费要求单位列入今年项目资金预算，导致经费增加，同时自今年起由单位自行支付单位住房保障金部分，导致住房保障支出增加。</w:t>
            </w:r>
          </w:p>
          <w:p w14:paraId="43837BE0">
            <w:pPr>
              <w:spacing w:beforeLines="0" w:afterLines="0" w:line="375" w:lineRule="exact"/>
              <w:ind w:left="20"/>
              <w:rPr>
                <w:rFonts w:hint="eastAsia" w:ascii="宋体" w:hAnsi="宋体"/>
                <w:sz w:val="32"/>
                <w:szCs w:val="24"/>
              </w:rPr>
            </w:pPr>
          </w:p>
        </w:tc>
      </w:tr>
      <w:tr w14:paraId="7556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5A94E08">
            <w:pPr>
              <w:spacing w:beforeLines="0" w:afterLines="0" w:line="375" w:lineRule="exact"/>
              <w:ind w:left="20"/>
              <w:rPr>
                <w:rFonts w:hint="eastAsia" w:ascii="Dialog" w:hAnsi="Dialog"/>
                <w:sz w:val="32"/>
                <w:szCs w:val="24"/>
              </w:rPr>
            </w:pPr>
            <w:r>
              <w:rPr>
                <w:rFonts w:hint="eastAsia" w:ascii="Dialog" w:hAnsi="Dialog"/>
                <w:sz w:val="32"/>
                <w:szCs w:val="24"/>
              </w:rPr>
              <w:t xml:space="preserve">  （二）支出预算</w:t>
            </w:r>
          </w:p>
        </w:tc>
      </w:tr>
      <w:tr w14:paraId="2C67D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D38938E">
            <w:pPr>
              <w:spacing w:beforeLines="0" w:afterLines="0" w:line="375" w:lineRule="exact"/>
              <w:ind w:left="20"/>
              <w:rPr>
                <w:rFonts w:hint="eastAsia" w:ascii="宋体" w:hAnsi="宋体"/>
                <w:sz w:val="32"/>
                <w:szCs w:val="24"/>
              </w:rPr>
            </w:pPr>
            <w:r>
              <w:rPr>
                <w:rFonts w:hint="eastAsia" w:ascii="宋体" w:hAnsi="宋体"/>
                <w:sz w:val="32"/>
                <w:szCs w:val="24"/>
              </w:rPr>
              <w:t xml:space="preserve">  </w:t>
            </w:r>
            <w:r>
              <w:rPr>
                <w:rFonts w:hint="eastAsia" w:ascii="宋体" w:hAnsi="宋体" w:cs="Times New Roman"/>
                <w:sz w:val="32"/>
                <w:szCs w:val="24"/>
              </w:rPr>
              <w:t>2023年本单位支出预算3146.93万元，其中，205教育支出2848.54万元，208社会保障和就业支出120.97万元，210卫生健康支出73.79万元，221住房保障支出103.63万元，支出较去年增加337.</w:t>
            </w:r>
            <w:r>
              <w:rPr>
                <w:rFonts w:hint="eastAsia" w:ascii="宋体" w:hAnsi="宋体" w:cs="Times New Roman"/>
                <w:sz w:val="32"/>
                <w:szCs w:val="24"/>
                <w:lang w:val="en-US" w:eastAsia="zh-CN"/>
              </w:rPr>
              <w:t>69</w:t>
            </w:r>
            <w:bookmarkStart w:id="0" w:name="_GoBack"/>
            <w:bookmarkEnd w:id="0"/>
            <w:r>
              <w:rPr>
                <w:rFonts w:hint="eastAsia" w:ascii="宋体" w:hAnsi="宋体" w:cs="Times New Roman"/>
                <w:sz w:val="32"/>
                <w:szCs w:val="24"/>
              </w:rPr>
              <w:t>万元，主要是因为教育支出中财政将原审批专项经费要求单位列入今年项目资金预算，导致教育支出经费增加，同时自今年起由单位自行支付单位住房保障金部分，导致住房保障支出增加。</w:t>
            </w:r>
          </w:p>
        </w:tc>
      </w:tr>
      <w:tr w14:paraId="3EB6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6069768">
            <w:pPr>
              <w:spacing w:beforeLines="0" w:afterLines="0" w:line="375" w:lineRule="exact"/>
              <w:ind w:left="20"/>
              <w:rPr>
                <w:rFonts w:hint="eastAsia" w:ascii="Dialog" w:hAnsi="Dialog"/>
                <w:sz w:val="32"/>
                <w:szCs w:val="24"/>
              </w:rPr>
            </w:pPr>
            <w:r>
              <w:rPr>
                <w:rFonts w:hint="eastAsia" w:ascii="Dialog" w:hAnsi="Dialog"/>
                <w:sz w:val="32"/>
                <w:szCs w:val="24"/>
              </w:rPr>
              <w:t xml:space="preserve">  四、一般公共预算拨款支出预算</w:t>
            </w:r>
          </w:p>
        </w:tc>
      </w:tr>
      <w:tr w14:paraId="19E6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59A3A00">
            <w:pPr>
              <w:spacing w:beforeLines="0" w:afterLines="0" w:line="375" w:lineRule="exact"/>
              <w:ind w:left="20"/>
              <w:rPr>
                <w:rFonts w:hint="eastAsia" w:ascii="宋体" w:hAnsi="宋体" w:cs="Times New Roman"/>
                <w:sz w:val="32"/>
                <w:szCs w:val="24"/>
              </w:rPr>
            </w:pPr>
            <w:r>
              <w:rPr>
                <w:rFonts w:hint="eastAsia" w:ascii="宋体" w:hAnsi="宋体" w:cs="Times New Roman"/>
                <w:sz w:val="32"/>
                <w:szCs w:val="24"/>
              </w:rPr>
              <w:t xml:space="preserve">  2023年一般公共预算拨款支出预算3146.93万元，其中，205教育支出2848.54万元，占90.52%；208社会保障和就业支出120.97万元，占3.84%；210卫生健康支出73.79万元，占2.34%；221住房保障支出103.63万元，占3.29%；具体安排情况如下：</w:t>
            </w:r>
          </w:p>
        </w:tc>
      </w:tr>
      <w:tr w14:paraId="4685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8E8373C">
            <w:pPr>
              <w:spacing w:beforeLines="0" w:afterLines="0" w:line="375" w:lineRule="exact"/>
              <w:ind w:left="20"/>
              <w:rPr>
                <w:rFonts w:hint="eastAsia" w:ascii="宋体" w:hAnsi="宋体" w:cs="Times New Roman"/>
                <w:sz w:val="32"/>
                <w:szCs w:val="24"/>
              </w:rPr>
            </w:pPr>
            <w:r>
              <w:rPr>
                <w:rFonts w:hint="eastAsia" w:ascii="宋体" w:hAnsi="宋体" w:cs="Times New Roman"/>
                <w:sz w:val="32"/>
                <w:szCs w:val="24"/>
              </w:rPr>
              <w:t xml:space="preserve">  （一）基本支出：2023年基本支出年初预算数为1867.03万元（数据来源见表23），是指为保障单位机构正常运转、完成日常工作任务而发生的各项支出，包括用于基本工资、津贴补贴等人员经费以及办公费、印刷费、水电费、差旅费等日常公用经费。</w:t>
            </w:r>
          </w:p>
        </w:tc>
      </w:tr>
      <w:tr w14:paraId="4EA3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469"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DE93D6D">
            <w:pPr>
              <w:spacing w:beforeLines="0" w:afterLines="0" w:line="375" w:lineRule="exact"/>
              <w:ind w:left="20"/>
              <w:rPr>
                <w:rFonts w:hint="eastAsia" w:ascii="宋体" w:hAnsi="宋体" w:cs="Times New Roman"/>
                <w:sz w:val="32"/>
                <w:szCs w:val="24"/>
              </w:rPr>
            </w:pPr>
            <w:r>
              <w:rPr>
                <w:rFonts w:hint="eastAsia" w:ascii="宋体" w:hAnsi="宋体" w:cs="Times New Roman"/>
                <w:sz w:val="32"/>
                <w:szCs w:val="24"/>
              </w:rPr>
              <w:t xml:space="preserve">  （二）项目支出：2023年项目支出年初预算数为1279.90万元（数据来源见表20），是指单位为完成特定行政工作任务或事业发展目标而发生的支出，包括有关业务工作经费、运行维护经费、其他事业发展资金等。其中：非税收入征收成本专项支出389.00万元，主要用于</w:t>
            </w:r>
            <w:r>
              <w:rPr>
                <w:rFonts w:hint="eastAsia" w:ascii="宋体" w:hAnsi="宋体" w:cs="Times New Roman"/>
                <w:sz w:val="32"/>
                <w:szCs w:val="24"/>
                <w:lang w:val="en-US" w:eastAsia="zh-CN"/>
              </w:rPr>
              <w:t>研究生考试、教师资格考试、英语等级考试考试组考</w:t>
            </w:r>
            <w:r>
              <w:rPr>
                <w:rFonts w:hint="eastAsia" w:ascii="宋体" w:hAnsi="宋体" w:cs="Times New Roman"/>
                <w:sz w:val="32"/>
                <w:szCs w:val="24"/>
              </w:rPr>
              <w:t>方面,教育督导及基础教育工作经费专项支出99.90万元，主要用于</w:t>
            </w:r>
            <w:r>
              <w:rPr>
                <w:rFonts w:hint="eastAsia" w:ascii="宋体" w:hAnsi="宋体" w:cs="Times New Roman"/>
                <w:sz w:val="32"/>
                <w:szCs w:val="24"/>
                <w:lang w:val="en-US" w:eastAsia="zh-CN"/>
              </w:rPr>
              <w:t>教育督导检查及基础教育教学调研</w:t>
            </w:r>
            <w:r>
              <w:rPr>
                <w:rFonts w:hint="eastAsia" w:ascii="宋体" w:hAnsi="宋体" w:cs="Times New Roman"/>
                <w:sz w:val="32"/>
                <w:szCs w:val="24"/>
              </w:rPr>
              <w:t>方面,教育综合管理专项专项支出422.00万元，主要用于</w:t>
            </w:r>
            <w:r>
              <w:rPr>
                <w:rFonts w:hint="eastAsia" w:ascii="宋体" w:hAnsi="宋体" w:cs="Times New Roman"/>
                <w:sz w:val="32"/>
                <w:szCs w:val="24"/>
                <w:lang w:val="en-US" w:eastAsia="zh-CN"/>
              </w:rPr>
              <w:t>职业教育调研考察、民办教育评估</w:t>
            </w:r>
            <w:r>
              <w:rPr>
                <w:rFonts w:hint="eastAsia" w:ascii="宋体" w:hAnsi="宋体" w:cs="Times New Roman"/>
                <w:sz w:val="32"/>
                <w:szCs w:val="24"/>
              </w:rPr>
              <w:t>方面,体育比赛及工作经费专项支出120.00万元，主要用于</w:t>
            </w:r>
            <w:r>
              <w:rPr>
                <w:rFonts w:hint="eastAsia" w:ascii="宋体" w:hAnsi="宋体" w:cs="Times New Roman"/>
                <w:sz w:val="32"/>
                <w:szCs w:val="24"/>
                <w:lang w:val="en-US" w:eastAsia="zh-CN"/>
              </w:rPr>
              <w:t>全市中学生运动会、体育培训等</w:t>
            </w:r>
            <w:r>
              <w:rPr>
                <w:rFonts w:hint="eastAsia" w:ascii="宋体" w:hAnsi="宋体" w:cs="Times New Roman"/>
                <w:sz w:val="32"/>
                <w:szCs w:val="24"/>
              </w:rPr>
              <w:t>方面,校园安全管理专项支出70.00万元，主要用于</w:t>
            </w:r>
            <w:r>
              <w:rPr>
                <w:rFonts w:hint="eastAsia" w:ascii="宋体" w:hAnsi="宋体" w:cs="Times New Roman"/>
                <w:sz w:val="32"/>
                <w:szCs w:val="24"/>
                <w:lang w:val="en-US" w:eastAsia="zh-CN"/>
              </w:rPr>
              <w:t>肺结核筛查、全市校园网络安全建设</w:t>
            </w:r>
            <w:r>
              <w:rPr>
                <w:rFonts w:hint="eastAsia" w:ascii="宋体" w:hAnsi="宋体" w:cs="Times New Roman"/>
                <w:sz w:val="32"/>
                <w:szCs w:val="24"/>
              </w:rPr>
              <w:t>方面,招生、考试类专项专项支出179.00万元，主要用于</w:t>
            </w:r>
            <w:r>
              <w:rPr>
                <w:rFonts w:hint="eastAsia" w:ascii="宋体" w:hAnsi="宋体" w:cs="Times New Roman"/>
                <w:sz w:val="32"/>
                <w:szCs w:val="24"/>
                <w:lang w:val="en-US" w:eastAsia="zh-CN"/>
              </w:rPr>
              <w:t>初高中学业水平考试组考</w:t>
            </w:r>
            <w:r>
              <w:rPr>
                <w:rFonts w:hint="eastAsia" w:ascii="宋体" w:hAnsi="宋体" w:cs="Times New Roman"/>
                <w:sz w:val="32"/>
                <w:szCs w:val="24"/>
              </w:rPr>
              <w:t>方面。</w:t>
            </w:r>
          </w:p>
        </w:tc>
      </w:tr>
      <w:tr w14:paraId="74D2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D8C324B">
            <w:pPr>
              <w:spacing w:beforeLines="0" w:afterLines="0" w:line="375" w:lineRule="exact"/>
              <w:ind w:left="20"/>
              <w:rPr>
                <w:rFonts w:hint="eastAsia" w:ascii="Dialog" w:hAnsi="Dialog"/>
                <w:sz w:val="32"/>
                <w:szCs w:val="24"/>
              </w:rPr>
            </w:pPr>
            <w:r>
              <w:rPr>
                <w:rFonts w:hint="eastAsia" w:ascii="Dialog" w:hAnsi="Dialog"/>
                <w:sz w:val="32"/>
                <w:szCs w:val="24"/>
              </w:rPr>
              <w:t xml:space="preserve">  五、政府性基金预算支出</w:t>
            </w:r>
          </w:p>
        </w:tc>
      </w:tr>
      <w:tr w14:paraId="28E3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9744CE4">
            <w:pPr>
              <w:spacing w:beforeLines="0" w:afterLines="0" w:line="375" w:lineRule="exact"/>
              <w:ind w:left="20"/>
              <w:rPr>
                <w:rFonts w:hint="eastAsia" w:ascii="宋体" w:hAnsi="宋体"/>
                <w:sz w:val="32"/>
                <w:szCs w:val="24"/>
              </w:rPr>
            </w:pPr>
            <w:r>
              <w:rPr>
                <w:rFonts w:hint="eastAsia" w:ascii="宋体" w:hAnsi="宋体"/>
                <w:sz w:val="32"/>
                <w:szCs w:val="24"/>
              </w:rPr>
              <w:t xml:space="preserve">  2023年度本单位无政府性基金安排的支出，所以公开的附件15-17（政府性基金预算）为空。</w:t>
            </w:r>
          </w:p>
        </w:tc>
      </w:tr>
      <w:tr w14:paraId="2EF0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70BA6E8">
            <w:pPr>
              <w:spacing w:beforeLines="0" w:afterLines="0" w:line="375" w:lineRule="exact"/>
              <w:ind w:left="20"/>
              <w:rPr>
                <w:rFonts w:hint="eastAsia" w:ascii="宋体" w:hAnsi="宋体" w:cs="Times New Roman"/>
                <w:sz w:val="32"/>
                <w:szCs w:val="24"/>
              </w:rPr>
            </w:pPr>
            <w:r>
              <w:rPr>
                <w:rFonts w:hint="eastAsia" w:ascii="宋体" w:hAnsi="宋体" w:cs="Times New Roman"/>
                <w:sz w:val="32"/>
                <w:szCs w:val="24"/>
              </w:rPr>
              <w:t xml:space="preserve">  六、其他重要事项的情况说明</w:t>
            </w:r>
          </w:p>
        </w:tc>
      </w:tr>
      <w:tr w14:paraId="23FA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3F7D2B1">
            <w:pPr>
              <w:spacing w:beforeLines="0" w:afterLines="0" w:line="375" w:lineRule="exact"/>
              <w:ind w:left="20"/>
              <w:rPr>
                <w:rFonts w:hint="eastAsia" w:ascii="宋体" w:hAnsi="宋体" w:cs="Times New Roman"/>
                <w:sz w:val="32"/>
                <w:szCs w:val="24"/>
              </w:rPr>
            </w:pPr>
            <w:r>
              <w:rPr>
                <w:rFonts w:hint="eastAsia" w:ascii="宋体" w:hAnsi="宋体" w:cs="Times New Roman"/>
                <w:sz w:val="32"/>
                <w:szCs w:val="24"/>
              </w:rPr>
              <w:t xml:space="preserve">  （一）机关运行经费</w:t>
            </w:r>
          </w:p>
        </w:tc>
      </w:tr>
      <w:tr w14:paraId="4D86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555998F">
            <w:pPr>
              <w:spacing w:beforeLines="0" w:afterLines="0" w:line="375" w:lineRule="exact"/>
              <w:ind w:left="20"/>
              <w:rPr>
                <w:rFonts w:hint="eastAsia" w:ascii="宋体" w:hAnsi="宋体" w:cs="Times New Roman"/>
                <w:sz w:val="32"/>
                <w:szCs w:val="24"/>
                <w:lang w:eastAsia="zh-CN"/>
              </w:rPr>
            </w:pPr>
            <w:r>
              <w:rPr>
                <w:rFonts w:hint="eastAsia" w:ascii="宋体" w:hAnsi="宋体" w:cs="Times New Roman"/>
                <w:sz w:val="32"/>
                <w:szCs w:val="24"/>
              </w:rPr>
              <w:t xml:space="preserve">  本单位2023年机关运行经费当年一般公共预算拨款284.65万元（数据来源见表12），比上一年增加</w:t>
            </w:r>
            <w:r>
              <w:rPr>
                <w:rFonts w:hint="eastAsia" w:ascii="宋体" w:hAnsi="宋体" w:cs="Times New Roman"/>
                <w:sz w:val="32"/>
                <w:szCs w:val="24"/>
                <w:lang w:val="en-US" w:eastAsia="zh-CN"/>
              </w:rPr>
              <w:t>7.14</w:t>
            </w:r>
            <w:r>
              <w:rPr>
                <w:rFonts w:hint="eastAsia" w:ascii="宋体" w:hAnsi="宋体" w:cs="Times New Roman"/>
                <w:sz w:val="32"/>
                <w:szCs w:val="24"/>
              </w:rPr>
              <w:t>万元，增加</w:t>
            </w:r>
            <w:r>
              <w:rPr>
                <w:rFonts w:hint="eastAsia" w:ascii="宋体" w:hAnsi="宋体" w:cs="Times New Roman"/>
                <w:sz w:val="32"/>
                <w:szCs w:val="24"/>
                <w:lang w:val="en-US" w:eastAsia="zh-CN"/>
              </w:rPr>
              <w:t>3.3</w:t>
            </w:r>
            <w:r>
              <w:rPr>
                <w:rFonts w:hint="eastAsia" w:ascii="宋体" w:hAnsi="宋体" w:cs="Times New Roman"/>
                <w:sz w:val="32"/>
                <w:szCs w:val="24"/>
              </w:rPr>
              <w:t>%。主要原因是2023年度</w:t>
            </w:r>
            <w:r>
              <w:rPr>
                <w:rFonts w:hint="eastAsia" w:ascii="宋体" w:hAnsi="宋体" w:cs="Times New Roman"/>
                <w:sz w:val="32"/>
                <w:szCs w:val="24"/>
                <w:lang w:val="en-US" w:eastAsia="zh-CN"/>
              </w:rPr>
              <w:t>新招聘公务员5人，在职</w:t>
            </w:r>
            <w:r>
              <w:rPr>
                <w:rFonts w:hint="eastAsia" w:ascii="宋体" w:hAnsi="宋体" w:cs="Times New Roman"/>
                <w:sz w:val="32"/>
                <w:szCs w:val="24"/>
              </w:rPr>
              <w:t>人员增加，公用经费相应增加</w:t>
            </w:r>
            <w:r>
              <w:rPr>
                <w:rFonts w:hint="eastAsia" w:ascii="宋体" w:hAnsi="宋体" w:cs="Times New Roman"/>
                <w:sz w:val="32"/>
                <w:szCs w:val="24"/>
                <w:lang w:eastAsia="zh-CN"/>
              </w:rPr>
              <w:t>。</w:t>
            </w:r>
          </w:p>
        </w:tc>
      </w:tr>
      <w:tr w14:paraId="00A3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4D7AD78">
            <w:pPr>
              <w:spacing w:beforeLines="0" w:afterLines="0" w:line="375" w:lineRule="exact"/>
              <w:ind w:left="20"/>
              <w:rPr>
                <w:rFonts w:hint="eastAsia" w:ascii="宋体" w:hAnsi="宋体" w:cs="Times New Roman"/>
                <w:sz w:val="32"/>
                <w:szCs w:val="24"/>
              </w:rPr>
            </w:pPr>
            <w:r>
              <w:rPr>
                <w:rFonts w:hint="eastAsia" w:ascii="宋体" w:hAnsi="宋体" w:cs="Times New Roman"/>
                <w:sz w:val="32"/>
                <w:szCs w:val="24"/>
              </w:rPr>
              <w:t xml:space="preserve">  （二）“三公”经费预算</w:t>
            </w:r>
          </w:p>
        </w:tc>
      </w:tr>
      <w:tr w14:paraId="1AF2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48AC014">
            <w:pPr>
              <w:spacing w:beforeLines="0" w:afterLines="0" w:line="375" w:lineRule="exact"/>
              <w:ind w:left="20"/>
              <w:rPr>
                <w:rFonts w:hint="eastAsia" w:ascii="宋体" w:hAnsi="宋体" w:cs="Times New Roman"/>
                <w:sz w:val="32"/>
                <w:szCs w:val="24"/>
              </w:rPr>
            </w:pPr>
            <w:r>
              <w:rPr>
                <w:rFonts w:hint="eastAsia" w:ascii="宋体" w:hAnsi="宋体" w:cs="Times New Roman"/>
                <w:sz w:val="32"/>
                <w:szCs w:val="24"/>
              </w:rPr>
              <w:t xml:space="preserve">  本单位2023年“三公”经费预算数8.00万元（数据来源见表14），其中，公务接待费2.00万元，因公出国（境）费0.00万元，公务用车购置及运行费6.00万元（其中，公务用车购置费0.00万元，公务用车运行费6.00万元）。2023年三公经费预算较上年增加</w:t>
            </w:r>
            <w:r>
              <w:rPr>
                <w:rFonts w:hint="eastAsia" w:ascii="宋体" w:hAnsi="宋体" w:cs="Times New Roman"/>
                <w:sz w:val="32"/>
                <w:szCs w:val="24"/>
                <w:lang w:val="en-US" w:eastAsia="zh-CN"/>
              </w:rPr>
              <w:t>2</w:t>
            </w:r>
            <w:r>
              <w:rPr>
                <w:rFonts w:hint="eastAsia" w:ascii="宋体" w:hAnsi="宋体" w:cs="Times New Roman"/>
                <w:sz w:val="32"/>
                <w:szCs w:val="24"/>
              </w:rPr>
              <w:t>万元，主要原因是疫情管控结束，公务往来活动增加，公务接待费用相应提高。</w:t>
            </w:r>
          </w:p>
        </w:tc>
      </w:tr>
      <w:tr w14:paraId="3445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6295DD0">
            <w:pPr>
              <w:spacing w:beforeLines="0" w:afterLines="0" w:line="375" w:lineRule="exact"/>
              <w:ind w:left="20"/>
              <w:rPr>
                <w:rFonts w:hint="eastAsia" w:ascii="宋体" w:hAnsi="宋体" w:cs="Times New Roman"/>
                <w:sz w:val="32"/>
                <w:szCs w:val="24"/>
              </w:rPr>
            </w:pPr>
            <w:r>
              <w:rPr>
                <w:rFonts w:hint="eastAsia" w:ascii="宋体" w:hAnsi="宋体" w:cs="Times New Roman"/>
                <w:sz w:val="32"/>
                <w:szCs w:val="24"/>
              </w:rPr>
              <w:t xml:space="preserve">  （三）一般性支出情况</w:t>
            </w:r>
          </w:p>
        </w:tc>
      </w:tr>
      <w:tr w14:paraId="7D6F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97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4E818C1">
            <w:pPr>
              <w:spacing w:beforeLines="0" w:afterLines="0" w:line="375" w:lineRule="exact"/>
              <w:ind w:left="20"/>
              <w:rPr>
                <w:rFonts w:hint="eastAsia" w:ascii="宋体" w:hAnsi="宋体" w:cs="Times New Roman"/>
                <w:sz w:val="32"/>
                <w:szCs w:val="24"/>
              </w:rPr>
            </w:pPr>
            <w:r>
              <w:rPr>
                <w:rFonts w:hint="eastAsia" w:ascii="宋体" w:hAnsi="宋体" w:cs="Times New Roman"/>
                <w:sz w:val="32"/>
                <w:szCs w:val="24"/>
              </w:rPr>
              <w:t xml:space="preserve">  本单位2023年会议费预算3.00万元（数据来源见表13会议费、培训费），拟召开</w:t>
            </w:r>
            <w:r>
              <w:rPr>
                <w:rFonts w:hint="eastAsia" w:ascii="宋体" w:hAnsi="宋体" w:cs="Times New Roman"/>
                <w:sz w:val="32"/>
                <w:szCs w:val="24"/>
                <w:lang w:val="en-US" w:eastAsia="zh-CN"/>
              </w:rPr>
              <w:t>3</w:t>
            </w:r>
            <w:r>
              <w:rPr>
                <w:rFonts w:hint="eastAsia" w:ascii="宋体" w:hAnsi="宋体" w:cs="Times New Roman"/>
                <w:sz w:val="32"/>
                <w:szCs w:val="24"/>
              </w:rPr>
              <w:t>次会议，人数</w:t>
            </w:r>
            <w:r>
              <w:rPr>
                <w:rFonts w:hint="eastAsia" w:ascii="宋体" w:hAnsi="宋体" w:cs="Times New Roman"/>
                <w:sz w:val="32"/>
                <w:szCs w:val="24"/>
                <w:lang w:val="en-US" w:eastAsia="zh-CN"/>
              </w:rPr>
              <w:t>510</w:t>
            </w:r>
            <w:r>
              <w:rPr>
                <w:rFonts w:hint="eastAsia" w:ascii="宋体" w:hAnsi="宋体" w:cs="Times New Roman"/>
                <w:sz w:val="32"/>
                <w:szCs w:val="24"/>
              </w:rPr>
              <w:t>人，内容为全市教育体育工作会、教师节大会、全市基础教育工作会；培训费预算1.00万元，拟开展</w:t>
            </w:r>
            <w:r>
              <w:rPr>
                <w:rFonts w:hint="eastAsia" w:ascii="宋体" w:hAnsi="宋体" w:cs="Times New Roman"/>
                <w:sz w:val="32"/>
                <w:szCs w:val="24"/>
                <w:lang w:val="en-US" w:eastAsia="zh-CN"/>
              </w:rPr>
              <w:t>1</w:t>
            </w:r>
            <w:r>
              <w:rPr>
                <w:rFonts w:hint="eastAsia" w:ascii="宋体" w:hAnsi="宋体" w:cs="Times New Roman"/>
                <w:sz w:val="32"/>
                <w:szCs w:val="24"/>
              </w:rPr>
              <w:t>次培训，人数</w:t>
            </w:r>
            <w:r>
              <w:rPr>
                <w:rFonts w:hint="eastAsia" w:ascii="宋体" w:hAnsi="宋体" w:cs="Times New Roman"/>
                <w:sz w:val="32"/>
                <w:szCs w:val="24"/>
                <w:lang w:val="en-US" w:eastAsia="zh-CN"/>
              </w:rPr>
              <w:t>89</w:t>
            </w:r>
            <w:r>
              <w:rPr>
                <w:rFonts w:hint="eastAsia" w:ascii="宋体" w:hAnsi="宋体" w:cs="Times New Roman"/>
                <w:sz w:val="32"/>
                <w:szCs w:val="24"/>
              </w:rPr>
              <w:t>人，内容为全市教育经费统计培训会；2023年度本单位未计划举办节庆、晚会、论坛、赛事活动。</w:t>
            </w:r>
          </w:p>
        </w:tc>
      </w:tr>
      <w:tr w14:paraId="34C3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869FA39">
            <w:pPr>
              <w:spacing w:beforeLines="0" w:afterLines="0" w:line="375" w:lineRule="exact"/>
              <w:ind w:left="20"/>
              <w:rPr>
                <w:rFonts w:hint="eastAsia" w:ascii="宋体" w:hAnsi="宋体" w:cs="Times New Roman"/>
                <w:sz w:val="32"/>
                <w:szCs w:val="24"/>
              </w:rPr>
            </w:pPr>
            <w:r>
              <w:rPr>
                <w:rFonts w:hint="eastAsia" w:ascii="宋体" w:hAnsi="宋体" w:cs="Times New Roman"/>
                <w:sz w:val="32"/>
                <w:szCs w:val="24"/>
              </w:rPr>
              <w:t xml:space="preserve">  （四）政府采购情况</w:t>
            </w:r>
          </w:p>
        </w:tc>
      </w:tr>
      <w:tr w14:paraId="76B3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F8A7506">
            <w:pPr>
              <w:spacing w:beforeLines="0" w:afterLines="0" w:line="375" w:lineRule="exact"/>
              <w:ind w:left="20"/>
              <w:rPr>
                <w:rFonts w:hint="eastAsia" w:ascii="宋体" w:hAnsi="宋体" w:cs="Times New Roman"/>
                <w:sz w:val="32"/>
                <w:szCs w:val="24"/>
              </w:rPr>
            </w:pPr>
            <w:r>
              <w:rPr>
                <w:rFonts w:hint="eastAsia" w:ascii="宋体" w:hAnsi="宋体" w:cs="Times New Roman"/>
                <w:sz w:val="32"/>
                <w:szCs w:val="24"/>
              </w:rPr>
              <w:t xml:space="preserve">  本单位2023年政府采购预算总额</w:t>
            </w:r>
            <w:r>
              <w:rPr>
                <w:rFonts w:hint="eastAsia" w:ascii="宋体" w:hAnsi="宋体" w:cs="Times New Roman"/>
                <w:sz w:val="32"/>
                <w:szCs w:val="24"/>
                <w:lang w:val="en-US" w:eastAsia="zh-CN"/>
              </w:rPr>
              <w:t>1935</w:t>
            </w:r>
            <w:r>
              <w:rPr>
                <w:rFonts w:hint="eastAsia" w:ascii="宋体" w:hAnsi="宋体" w:cs="Times New Roman"/>
                <w:sz w:val="32"/>
                <w:szCs w:val="24"/>
              </w:rPr>
              <w:t>万元，其中工程类</w:t>
            </w:r>
            <w:r>
              <w:rPr>
                <w:rFonts w:hint="eastAsia" w:ascii="宋体" w:hAnsi="宋体" w:cs="Times New Roman"/>
                <w:sz w:val="32"/>
                <w:szCs w:val="24"/>
                <w:lang w:val="en-US" w:eastAsia="zh-CN"/>
              </w:rPr>
              <w:t>0</w:t>
            </w:r>
            <w:r>
              <w:rPr>
                <w:rFonts w:hint="eastAsia" w:ascii="宋体" w:hAnsi="宋体" w:cs="Times New Roman"/>
                <w:sz w:val="32"/>
                <w:szCs w:val="24"/>
              </w:rPr>
              <w:t>万元，货物类</w:t>
            </w:r>
            <w:r>
              <w:rPr>
                <w:rFonts w:hint="eastAsia" w:ascii="宋体" w:hAnsi="宋体" w:cs="Times New Roman"/>
                <w:sz w:val="32"/>
                <w:szCs w:val="24"/>
                <w:lang w:val="en-US" w:eastAsia="zh-CN"/>
              </w:rPr>
              <w:t>135</w:t>
            </w:r>
            <w:r>
              <w:rPr>
                <w:rFonts w:hint="eastAsia" w:ascii="宋体" w:hAnsi="宋体" w:cs="Times New Roman"/>
                <w:sz w:val="32"/>
                <w:szCs w:val="24"/>
              </w:rPr>
              <w:t>万元，服务类</w:t>
            </w:r>
            <w:r>
              <w:rPr>
                <w:rFonts w:hint="eastAsia" w:ascii="宋体" w:hAnsi="宋体" w:cs="Times New Roman"/>
                <w:sz w:val="32"/>
                <w:szCs w:val="24"/>
                <w:lang w:val="en-US" w:eastAsia="zh-CN"/>
              </w:rPr>
              <w:t>1800</w:t>
            </w:r>
            <w:r>
              <w:rPr>
                <w:rFonts w:hint="eastAsia" w:ascii="宋体" w:hAnsi="宋体" w:cs="Times New Roman"/>
                <w:sz w:val="32"/>
                <w:szCs w:val="24"/>
              </w:rPr>
              <w:t>万元。</w:t>
            </w:r>
          </w:p>
        </w:tc>
      </w:tr>
      <w:tr w14:paraId="19AA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91D20DA">
            <w:pPr>
              <w:spacing w:beforeLines="0" w:afterLines="0" w:line="375" w:lineRule="exact"/>
              <w:ind w:left="20"/>
              <w:rPr>
                <w:rFonts w:hint="eastAsia" w:ascii="Dialog" w:hAnsi="Dialog"/>
                <w:sz w:val="32"/>
                <w:szCs w:val="24"/>
              </w:rPr>
            </w:pPr>
            <w:r>
              <w:rPr>
                <w:rFonts w:hint="eastAsia" w:ascii="Dialog" w:hAnsi="Dialog"/>
                <w:sz w:val="32"/>
                <w:szCs w:val="24"/>
              </w:rPr>
              <w:t xml:space="preserve">  （五）国有资产占有使用及新增资产配置情况</w:t>
            </w:r>
          </w:p>
        </w:tc>
      </w:tr>
      <w:tr w14:paraId="23CC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76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B22797A">
            <w:pPr>
              <w:spacing w:beforeLines="0" w:afterLines="0" w:line="375" w:lineRule="exact"/>
              <w:ind w:left="20"/>
              <w:rPr>
                <w:rFonts w:hint="eastAsia" w:ascii="宋体" w:hAnsi="宋体" w:cs="Times New Roman"/>
                <w:sz w:val="32"/>
                <w:szCs w:val="24"/>
              </w:rPr>
            </w:pPr>
            <w:r>
              <w:rPr>
                <w:rFonts w:hint="eastAsia" w:ascii="宋体" w:hAnsi="宋体"/>
                <w:sz w:val="32"/>
                <w:szCs w:val="24"/>
              </w:rPr>
              <w:t xml:space="preserve">  </w:t>
            </w:r>
            <w:r>
              <w:rPr>
                <w:rFonts w:hint="eastAsia" w:ascii="宋体" w:hAnsi="宋体" w:cs="Times New Roman"/>
                <w:sz w:val="32"/>
                <w:szCs w:val="24"/>
              </w:rPr>
              <w:t>截至上年底，本单位共有车辆</w:t>
            </w:r>
            <w:r>
              <w:rPr>
                <w:rFonts w:hint="eastAsia" w:ascii="宋体" w:hAnsi="宋体" w:cs="Times New Roman"/>
                <w:sz w:val="32"/>
                <w:szCs w:val="24"/>
                <w:lang w:val="en-US" w:eastAsia="zh-CN"/>
              </w:rPr>
              <w:t>2</w:t>
            </w:r>
            <w:r>
              <w:rPr>
                <w:rFonts w:hint="eastAsia" w:ascii="宋体" w:hAnsi="宋体" w:cs="Times New Roman"/>
                <w:sz w:val="32"/>
                <w:szCs w:val="24"/>
              </w:rPr>
              <w:t>辆，其中领导干部用车</w:t>
            </w:r>
            <w:r>
              <w:rPr>
                <w:rFonts w:hint="eastAsia" w:ascii="宋体" w:hAnsi="宋体" w:cs="Times New Roman"/>
                <w:sz w:val="32"/>
                <w:szCs w:val="24"/>
                <w:lang w:val="en-US" w:eastAsia="zh-CN"/>
              </w:rPr>
              <w:t>0</w:t>
            </w:r>
            <w:r>
              <w:rPr>
                <w:rFonts w:hint="eastAsia" w:ascii="宋体" w:hAnsi="宋体" w:cs="Times New Roman"/>
                <w:sz w:val="32"/>
                <w:szCs w:val="24"/>
              </w:rPr>
              <w:t>辆，一般公务用车</w:t>
            </w:r>
            <w:r>
              <w:rPr>
                <w:rFonts w:hint="eastAsia" w:ascii="宋体" w:hAnsi="宋体" w:cs="Times New Roman"/>
                <w:sz w:val="32"/>
                <w:szCs w:val="24"/>
                <w:lang w:val="en-US" w:eastAsia="zh-CN"/>
              </w:rPr>
              <w:t>2</w:t>
            </w:r>
            <w:r>
              <w:rPr>
                <w:rFonts w:hint="eastAsia" w:ascii="宋体" w:hAnsi="宋体" w:cs="Times New Roman"/>
                <w:sz w:val="32"/>
                <w:szCs w:val="24"/>
              </w:rPr>
              <w:t>辆，其他用车</w:t>
            </w:r>
            <w:r>
              <w:rPr>
                <w:rFonts w:hint="eastAsia" w:ascii="宋体" w:hAnsi="宋体" w:cs="Times New Roman"/>
                <w:sz w:val="32"/>
                <w:szCs w:val="24"/>
                <w:lang w:val="en-US" w:eastAsia="zh-CN"/>
              </w:rPr>
              <w:t>0</w:t>
            </w:r>
            <w:r>
              <w:rPr>
                <w:rFonts w:hint="eastAsia" w:ascii="宋体" w:hAnsi="宋体" w:cs="Times New Roman"/>
                <w:sz w:val="32"/>
                <w:szCs w:val="24"/>
              </w:rPr>
              <w:t>辆。单位价值50万元以上通用设备</w:t>
            </w:r>
            <w:r>
              <w:rPr>
                <w:rFonts w:hint="eastAsia" w:ascii="宋体" w:hAnsi="宋体" w:cs="Times New Roman"/>
                <w:sz w:val="32"/>
                <w:szCs w:val="24"/>
                <w:lang w:val="en-US" w:eastAsia="zh-CN"/>
              </w:rPr>
              <w:t>1</w:t>
            </w:r>
            <w:r>
              <w:rPr>
                <w:rFonts w:hint="eastAsia" w:ascii="宋体" w:hAnsi="宋体" w:cs="Times New Roman"/>
                <w:sz w:val="32"/>
                <w:szCs w:val="24"/>
              </w:rPr>
              <w:t>台，单位价值100万元以上专用设备</w:t>
            </w:r>
            <w:r>
              <w:rPr>
                <w:rFonts w:hint="eastAsia" w:ascii="宋体" w:hAnsi="宋体" w:cs="Times New Roman"/>
                <w:sz w:val="32"/>
                <w:szCs w:val="24"/>
                <w:lang w:val="en-US" w:eastAsia="zh-CN"/>
              </w:rPr>
              <w:t>0</w:t>
            </w:r>
            <w:r>
              <w:rPr>
                <w:rFonts w:hint="eastAsia" w:ascii="宋体" w:hAnsi="宋体" w:cs="Times New Roman"/>
                <w:sz w:val="32"/>
                <w:szCs w:val="24"/>
              </w:rPr>
              <w:t xml:space="preserve">台。 </w:t>
            </w:r>
          </w:p>
          <w:p w14:paraId="0C503AAB">
            <w:pPr>
              <w:spacing w:beforeLines="0" w:afterLines="0" w:line="375" w:lineRule="exact"/>
              <w:ind w:left="20"/>
              <w:rPr>
                <w:rFonts w:hint="eastAsia"/>
                <w:sz w:val="24"/>
                <w:szCs w:val="24"/>
              </w:rPr>
            </w:pPr>
            <w:r>
              <w:rPr>
                <w:rFonts w:hint="eastAsia" w:ascii="宋体" w:hAnsi="宋体" w:cs="Times New Roman"/>
                <w:sz w:val="32"/>
                <w:szCs w:val="24"/>
              </w:rPr>
              <w:t xml:space="preserve">  2023年度本单位未计划处置或新增车辆、设备等。</w:t>
            </w:r>
          </w:p>
        </w:tc>
      </w:tr>
      <w:tr w14:paraId="7713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DBF7D0E">
            <w:pPr>
              <w:spacing w:beforeLines="0" w:afterLines="0" w:line="375" w:lineRule="exact"/>
              <w:ind w:left="20"/>
              <w:rPr>
                <w:rFonts w:hint="eastAsia" w:ascii="Dialog" w:hAnsi="Dialog"/>
                <w:sz w:val="32"/>
                <w:szCs w:val="24"/>
              </w:rPr>
            </w:pPr>
            <w:r>
              <w:rPr>
                <w:rFonts w:hint="eastAsia" w:ascii="Dialog" w:hAnsi="Dialog"/>
                <w:sz w:val="32"/>
                <w:szCs w:val="24"/>
              </w:rPr>
              <w:t xml:space="preserve">  （六）预算绩效目标说明</w:t>
            </w:r>
          </w:p>
        </w:tc>
      </w:tr>
      <w:tr w14:paraId="0BE2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FF34353">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本单位所有支出实行绩效目标管理。纳入2023年单位整体支出绩效目标的金额为3146.93万元，其中，基本支出1867.03万元，项目支出1279.90万元，详见文尾附表中单位预算公开表格的表21-22。</w:t>
            </w:r>
          </w:p>
        </w:tc>
      </w:tr>
      <w:tr w14:paraId="5E67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C09F294">
            <w:pPr>
              <w:spacing w:beforeLines="0" w:afterLines="0" w:line="375" w:lineRule="exact"/>
              <w:ind w:left="20"/>
              <w:rPr>
                <w:rFonts w:hint="eastAsia" w:ascii="Dialog" w:hAnsi="Dialog"/>
                <w:sz w:val="32"/>
                <w:szCs w:val="24"/>
              </w:rPr>
            </w:pPr>
            <w:r>
              <w:rPr>
                <w:rFonts w:hint="eastAsia" w:ascii="Dialog" w:hAnsi="Dialog"/>
                <w:sz w:val="32"/>
                <w:szCs w:val="24"/>
              </w:rPr>
              <w:t xml:space="preserve">  七、名词解释</w:t>
            </w:r>
          </w:p>
        </w:tc>
      </w:tr>
      <w:tr w14:paraId="0300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D1BE1D2">
            <w:pPr>
              <w:spacing w:beforeLines="0" w:afterLines="0" w:line="375" w:lineRule="exact"/>
              <w:ind w:left="20"/>
              <w:rPr>
                <w:rFonts w:hint="eastAsia" w:ascii="宋体" w:hAnsi="宋体"/>
                <w:sz w:val="32"/>
                <w:szCs w:val="24"/>
              </w:rPr>
            </w:pPr>
            <w:r>
              <w:rPr>
                <w:rFonts w:hint="eastAsia" w:ascii="宋体" w:hAnsi="宋体"/>
                <w:sz w:val="32"/>
                <w:szCs w:val="24"/>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tc>
      </w:tr>
      <w:tr w14:paraId="3CE7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A993A2D">
            <w:pPr>
              <w:spacing w:beforeLines="0" w:afterLines="0" w:line="375" w:lineRule="exact"/>
              <w:ind w:left="20"/>
              <w:rPr>
                <w:rFonts w:hint="eastAsia" w:ascii="宋体" w:hAnsi="宋体"/>
                <w:sz w:val="32"/>
                <w:szCs w:val="24"/>
              </w:rPr>
            </w:pPr>
            <w:r>
              <w:rPr>
                <w:rFonts w:hint="eastAsia" w:ascii="宋体" w:hAnsi="宋体"/>
                <w:sz w:val="32"/>
                <w:szCs w:val="24"/>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14:paraId="77C7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18AB9F1">
            <w:pPr>
              <w:spacing w:beforeLines="0" w:afterLines="0"/>
              <w:rPr>
                <w:rFonts w:hint="default"/>
                <w:sz w:val="24"/>
                <w:szCs w:val="24"/>
              </w:rPr>
            </w:pPr>
          </w:p>
        </w:tc>
      </w:tr>
      <w:tr w14:paraId="5A7F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B1DB4BA">
            <w:pPr>
              <w:spacing w:beforeLines="0" w:afterLines="0"/>
              <w:rPr>
                <w:rFonts w:hint="default"/>
                <w:sz w:val="24"/>
                <w:szCs w:val="24"/>
              </w:rPr>
            </w:pPr>
          </w:p>
        </w:tc>
      </w:tr>
      <w:tr w14:paraId="0C75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24016AA">
            <w:pPr>
              <w:spacing w:beforeLines="0" w:afterLines="0"/>
              <w:rPr>
                <w:rFonts w:hint="default"/>
                <w:sz w:val="24"/>
                <w:szCs w:val="24"/>
              </w:rPr>
            </w:pPr>
          </w:p>
        </w:tc>
      </w:tr>
      <w:tr w14:paraId="3F17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94D63E0">
            <w:pPr>
              <w:spacing w:beforeLines="0" w:afterLines="0" w:line="375" w:lineRule="exact"/>
              <w:ind w:left="20"/>
              <w:jc w:val="center"/>
              <w:rPr>
                <w:rFonts w:hint="eastAsia" w:ascii="Dialog" w:hAnsi="Dialog"/>
                <w:sz w:val="32"/>
                <w:szCs w:val="24"/>
              </w:rPr>
            </w:pPr>
            <w:r>
              <w:rPr>
                <w:rFonts w:hint="eastAsia" w:ascii="Dialog" w:hAnsi="Dialog"/>
                <w:sz w:val="32"/>
                <w:szCs w:val="24"/>
              </w:rPr>
              <w:t>第二部分  2023年单位预算公开表格</w:t>
            </w:r>
          </w:p>
        </w:tc>
      </w:tr>
      <w:tr w14:paraId="771E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9ACFB4B">
            <w:pPr>
              <w:spacing w:beforeLines="0" w:afterLines="0" w:line="375" w:lineRule="exact"/>
              <w:ind w:left="20"/>
              <w:rPr>
                <w:rFonts w:hint="eastAsia" w:ascii="宋体" w:hAnsi="宋体"/>
                <w:sz w:val="32"/>
                <w:szCs w:val="24"/>
              </w:rPr>
            </w:pPr>
            <w:r>
              <w:rPr>
                <w:rFonts w:hint="eastAsia" w:ascii="宋体" w:hAnsi="宋体"/>
                <w:sz w:val="32"/>
                <w:szCs w:val="24"/>
              </w:rPr>
              <w:t>1、收支总表</w:t>
            </w:r>
          </w:p>
        </w:tc>
      </w:tr>
      <w:tr w14:paraId="5916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B3A947E">
            <w:pPr>
              <w:spacing w:beforeLines="0" w:afterLines="0" w:line="375" w:lineRule="exact"/>
              <w:ind w:left="20"/>
              <w:rPr>
                <w:rFonts w:hint="eastAsia" w:ascii="宋体" w:hAnsi="宋体"/>
                <w:sz w:val="32"/>
                <w:szCs w:val="24"/>
              </w:rPr>
            </w:pPr>
            <w:r>
              <w:rPr>
                <w:rFonts w:hint="eastAsia" w:ascii="宋体" w:hAnsi="宋体"/>
                <w:sz w:val="32"/>
                <w:szCs w:val="24"/>
              </w:rPr>
              <w:t>2、收入总表</w:t>
            </w:r>
          </w:p>
        </w:tc>
      </w:tr>
      <w:tr w14:paraId="06D9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CDB8D4A">
            <w:pPr>
              <w:spacing w:beforeLines="0" w:afterLines="0" w:line="375" w:lineRule="exact"/>
              <w:ind w:left="20"/>
              <w:rPr>
                <w:rFonts w:hint="eastAsia" w:ascii="宋体" w:hAnsi="宋体"/>
                <w:sz w:val="32"/>
                <w:szCs w:val="24"/>
              </w:rPr>
            </w:pPr>
            <w:r>
              <w:rPr>
                <w:rFonts w:hint="eastAsia" w:ascii="宋体" w:hAnsi="宋体"/>
                <w:sz w:val="32"/>
                <w:szCs w:val="24"/>
              </w:rPr>
              <w:t>3、支出总表</w:t>
            </w:r>
          </w:p>
        </w:tc>
      </w:tr>
      <w:tr w14:paraId="5A09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4690B08">
            <w:pPr>
              <w:spacing w:beforeLines="0" w:afterLines="0" w:line="375" w:lineRule="exact"/>
              <w:ind w:left="20"/>
              <w:rPr>
                <w:rFonts w:hint="eastAsia" w:ascii="宋体" w:hAnsi="宋体"/>
                <w:sz w:val="32"/>
                <w:szCs w:val="24"/>
              </w:rPr>
            </w:pPr>
            <w:r>
              <w:rPr>
                <w:rFonts w:hint="eastAsia" w:ascii="宋体" w:hAnsi="宋体"/>
                <w:sz w:val="32"/>
                <w:szCs w:val="24"/>
              </w:rPr>
              <w:t>4、支出预算分类汇总表（按政府预算经济分类）</w:t>
            </w:r>
          </w:p>
        </w:tc>
      </w:tr>
      <w:tr w14:paraId="54EB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81A06B1">
            <w:pPr>
              <w:spacing w:beforeLines="0" w:afterLines="0" w:line="375" w:lineRule="exact"/>
              <w:ind w:left="20"/>
              <w:rPr>
                <w:rFonts w:hint="eastAsia" w:ascii="宋体" w:hAnsi="宋体"/>
                <w:sz w:val="32"/>
                <w:szCs w:val="24"/>
              </w:rPr>
            </w:pPr>
            <w:r>
              <w:rPr>
                <w:rFonts w:hint="eastAsia" w:ascii="宋体" w:hAnsi="宋体"/>
                <w:sz w:val="32"/>
                <w:szCs w:val="24"/>
              </w:rPr>
              <w:t>5、支出预算分类汇总表（按部门预算经济分类）</w:t>
            </w:r>
          </w:p>
        </w:tc>
      </w:tr>
      <w:tr w14:paraId="7C89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521D39E">
            <w:pPr>
              <w:spacing w:beforeLines="0" w:afterLines="0" w:line="375" w:lineRule="exact"/>
              <w:ind w:left="20"/>
              <w:rPr>
                <w:rFonts w:hint="eastAsia" w:ascii="宋体" w:hAnsi="宋体"/>
                <w:sz w:val="32"/>
                <w:szCs w:val="24"/>
              </w:rPr>
            </w:pPr>
            <w:r>
              <w:rPr>
                <w:rFonts w:hint="eastAsia" w:ascii="宋体" w:hAnsi="宋体"/>
                <w:sz w:val="32"/>
                <w:szCs w:val="24"/>
              </w:rPr>
              <w:t>6、财政拨款收支总表</w:t>
            </w:r>
          </w:p>
        </w:tc>
      </w:tr>
      <w:tr w14:paraId="4EBA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3BF73EF">
            <w:pPr>
              <w:spacing w:beforeLines="0" w:afterLines="0" w:line="375" w:lineRule="exact"/>
              <w:ind w:left="20"/>
              <w:rPr>
                <w:rFonts w:hint="eastAsia" w:ascii="宋体" w:hAnsi="宋体"/>
                <w:sz w:val="32"/>
                <w:szCs w:val="24"/>
              </w:rPr>
            </w:pPr>
            <w:r>
              <w:rPr>
                <w:rFonts w:hint="eastAsia" w:ascii="宋体" w:hAnsi="宋体"/>
                <w:sz w:val="32"/>
                <w:szCs w:val="24"/>
              </w:rPr>
              <w:t>7、一般公共预算支出表</w:t>
            </w:r>
          </w:p>
        </w:tc>
      </w:tr>
      <w:tr w14:paraId="12F4A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DBC3CE2">
            <w:pPr>
              <w:spacing w:beforeLines="0" w:afterLines="0" w:line="375" w:lineRule="exact"/>
              <w:ind w:left="20"/>
              <w:rPr>
                <w:rFonts w:hint="eastAsia" w:ascii="宋体" w:hAnsi="宋体"/>
                <w:sz w:val="32"/>
                <w:szCs w:val="24"/>
              </w:rPr>
            </w:pPr>
            <w:r>
              <w:rPr>
                <w:rFonts w:hint="eastAsia" w:ascii="宋体" w:hAnsi="宋体"/>
                <w:sz w:val="32"/>
                <w:szCs w:val="24"/>
              </w:rPr>
              <w:t>8、一般公共预算基本支出表-人员经费（工资福利支出）（按政府预算经济分类）</w:t>
            </w:r>
          </w:p>
        </w:tc>
      </w:tr>
      <w:tr w14:paraId="4928C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9918F23">
            <w:pPr>
              <w:spacing w:beforeLines="0" w:afterLines="0" w:line="375" w:lineRule="exact"/>
              <w:ind w:left="20"/>
              <w:rPr>
                <w:rFonts w:hint="eastAsia" w:ascii="宋体" w:hAnsi="宋体"/>
                <w:sz w:val="32"/>
                <w:szCs w:val="24"/>
              </w:rPr>
            </w:pPr>
            <w:r>
              <w:rPr>
                <w:rFonts w:hint="eastAsia" w:ascii="宋体" w:hAnsi="宋体"/>
                <w:sz w:val="32"/>
                <w:szCs w:val="24"/>
              </w:rPr>
              <w:t>9、一般公共预算基本支出表-人员经费（工资福利支出）（按部门预算经济分类）</w:t>
            </w:r>
          </w:p>
        </w:tc>
      </w:tr>
      <w:tr w14:paraId="1BC7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4C56F43">
            <w:pPr>
              <w:spacing w:beforeLines="0" w:afterLines="0" w:line="375" w:lineRule="exact"/>
              <w:ind w:left="20"/>
              <w:rPr>
                <w:rFonts w:hint="eastAsia" w:ascii="宋体" w:hAnsi="宋体"/>
                <w:sz w:val="32"/>
                <w:szCs w:val="24"/>
              </w:rPr>
            </w:pPr>
            <w:r>
              <w:rPr>
                <w:rFonts w:hint="eastAsia" w:ascii="宋体" w:hAnsi="宋体"/>
                <w:sz w:val="32"/>
                <w:szCs w:val="24"/>
              </w:rPr>
              <w:t>10、一般公共预算基本支出表-人员经费（对个人和家庭的补助）（按政府预算经济分类）</w:t>
            </w:r>
          </w:p>
        </w:tc>
      </w:tr>
      <w:tr w14:paraId="4C14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D1C40B7">
            <w:pPr>
              <w:spacing w:beforeLines="0" w:afterLines="0" w:line="375" w:lineRule="exact"/>
              <w:ind w:left="20"/>
              <w:rPr>
                <w:rFonts w:hint="eastAsia" w:ascii="宋体" w:hAnsi="宋体"/>
                <w:sz w:val="32"/>
                <w:szCs w:val="24"/>
              </w:rPr>
            </w:pPr>
            <w:r>
              <w:rPr>
                <w:rFonts w:hint="eastAsia" w:ascii="宋体" w:hAnsi="宋体"/>
                <w:sz w:val="32"/>
                <w:szCs w:val="24"/>
              </w:rPr>
              <w:t>11、一般公共预算基本支出表-人员经费（对个人和家庭的补助）（按部门预算经济分类）</w:t>
            </w:r>
          </w:p>
        </w:tc>
      </w:tr>
      <w:tr w14:paraId="7AD5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84E7078">
            <w:pPr>
              <w:spacing w:beforeLines="0" w:afterLines="0" w:line="375" w:lineRule="exact"/>
              <w:ind w:left="20"/>
              <w:rPr>
                <w:rFonts w:hint="eastAsia" w:ascii="宋体" w:hAnsi="宋体"/>
                <w:sz w:val="32"/>
                <w:szCs w:val="24"/>
              </w:rPr>
            </w:pPr>
            <w:r>
              <w:rPr>
                <w:rFonts w:hint="eastAsia" w:ascii="宋体" w:hAnsi="宋体"/>
                <w:sz w:val="32"/>
                <w:szCs w:val="24"/>
              </w:rPr>
              <w:t>12、一般公共预算基本支出表-公用经费（商品和服务支出）（按政府预算经济分类）</w:t>
            </w:r>
          </w:p>
        </w:tc>
      </w:tr>
      <w:tr w14:paraId="58FA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2D2EC09">
            <w:pPr>
              <w:spacing w:beforeLines="0" w:afterLines="0" w:line="375" w:lineRule="exact"/>
              <w:ind w:left="20"/>
              <w:rPr>
                <w:rFonts w:hint="eastAsia" w:ascii="宋体" w:hAnsi="宋体"/>
                <w:sz w:val="32"/>
                <w:szCs w:val="24"/>
              </w:rPr>
            </w:pPr>
            <w:r>
              <w:rPr>
                <w:rFonts w:hint="eastAsia" w:ascii="宋体" w:hAnsi="宋体"/>
                <w:sz w:val="32"/>
                <w:szCs w:val="24"/>
              </w:rPr>
              <w:t>13、一般公共预算基本支出表-公用经费（商品和服务支出）（按部门预算经济分类）</w:t>
            </w:r>
          </w:p>
        </w:tc>
      </w:tr>
      <w:tr w14:paraId="69FF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39B5EE5">
            <w:pPr>
              <w:spacing w:beforeLines="0" w:afterLines="0" w:line="375" w:lineRule="exact"/>
              <w:ind w:left="20"/>
              <w:rPr>
                <w:rFonts w:hint="eastAsia" w:ascii="宋体" w:hAnsi="宋体"/>
                <w:sz w:val="32"/>
                <w:szCs w:val="24"/>
              </w:rPr>
            </w:pPr>
            <w:r>
              <w:rPr>
                <w:rFonts w:hint="eastAsia" w:ascii="宋体" w:hAnsi="宋体"/>
                <w:sz w:val="32"/>
                <w:szCs w:val="24"/>
              </w:rPr>
              <w:t>14、一般公共预算“三公”经费支出表</w:t>
            </w:r>
          </w:p>
        </w:tc>
      </w:tr>
      <w:tr w14:paraId="2DAB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E5904BB">
            <w:pPr>
              <w:spacing w:beforeLines="0" w:afterLines="0" w:line="375" w:lineRule="exact"/>
              <w:ind w:left="20"/>
              <w:rPr>
                <w:rFonts w:hint="eastAsia" w:ascii="宋体" w:hAnsi="宋体"/>
                <w:sz w:val="32"/>
                <w:szCs w:val="24"/>
              </w:rPr>
            </w:pPr>
            <w:r>
              <w:rPr>
                <w:rFonts w:hint="eastAsia" w:ascii="宋体" w:hAnsi="宋体"/>
                <w:sz w:val="32"/>
                <w:szCs w:val="24"/>
              </w:rPr>
              <w:t>15、政府性基金预算支出表</w:t>
            </w:r>
          </w:p>
        </w:tc>
      </w:tr>
      <w:tr w14:paraId="7289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D668FC5">
            <w:pPr>
              <w:spacing w:beforeLines="0" w:afterLines="0" w:line="375" w:lineRule="exact"/>
              <w:ind w:left="20"/>
              <w:rPr>
                <w:rFonts w:hint="eastAsia" w:ascii="宋体" w:hAnsi="宋体"/>
                <w:sz w:val="32"/>
                <w:szCs w:val="24"/>
              </w:rPr>
            </w:pPr>
            <w:r>
              <w:rPr>
                <w:rFonts w:hint="eastAsia" w:ascii="宋体" w:hAnsi="宋体"/>
                <w:sz w:val="32"/>
                <w:szCs w:val="24"/>
              </w:rPr>
              <w:t>16、政府性基金预算支出分类汇总表（按政府预算经济分类）</w:t>
            </w:r>
          </w:p>
        </w:tc>
      </w:tr>
      <w:tr w14:paraId="0099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67C0F85">
            <w:pPr>
              <w:spacing w:beforeLines="0" w:afterLines="0" w:line="375" w:lineRule="exact"/>
              <w:ind w:left="20"/>
              <w:rPr>
                <w:rFonts w:hint="eastAsia" w:ascii="宋体" w:hAnsi="宋体"/>
                <w:sz w:val="32"/>
                <w:szCs w:val="24"/>
              </w:rPr>
            </w:pPr>
            <w:r>
              <w:rPr>
                <w:rFonts w:hint="eastAsia" w:ascii="宋体" w:hAnsi="宋体"/>
                <w:sz w:val="32"/>
                <w:szCs w:val="24"/>
              </w:rPr>
              <w:t>17、政府性基金预算支出分类汇总表（按部门预算经济分类）</w:t>
            </w:r>
          </w:p>
        </w:tc>
      </w:tr>
      <w:tr w14:paraId="5A20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24258CC">
            <w:pPr>
              <w:spacing w:beforeLines="0" w:afterLines="0" w:line="375" w:lineRule="exact"/>
              <w:ind w:left="20"/>
              <w:rPr>
                <w:rFonts w:hint="eastAsia" w:ascii="宋体" w:hAnsi="宋体"/>
                <w:sz w:val="32"/>
                <w:szCs w:val="24"/>
              </w:rPr>
            </w:pPr>
            <w:r>
              <w:rPr>
                <w:rFonts w:hint="eastAsia" w:ascii="宋体" w:hAnsi="宋体"/>
                <w:sz w:val="32"/>
                <w:szCs w:val="24"/>
              </w:rPr>
              <w:t>18、国有资本经营预算支出表</w:t>
            </w:r>
          </w:p>
        </w:tc>
      </w:tr>
      <w:tr w14:paraId="6F6B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9FECADC">
            <w:pPr>
              <w:spacing w:beforeLines="0" w:afterLines="0" w:line="375" w:lineRule="exact"/>
              <w:ind w:left="20"/>
              <w:rPr>
                <w:rFonts w:hint="eastAsia" w:ascii="宋体" w:hAnsi="宋体"/>
                <w:sz w:val="32"/>
                <w:szCs w:val="24"/>
              </w:rPr>
            </w:pPr>
            <w:r>
              <w:rPr>
                <w:rFonts w:hint="eastAsia" w:ascii="宋体" w:hAnsi="宋体"/>
                <w:sz w:val="32"/>
                <w:szCs w:val="24"/>
              </w:rPr>
              <w:t>19、财政专户管理资金预算支出表</w:t>
            </w:r>
          </w:p>
        </w:tc>
      </w:tr>
      <w:tr w14:paraId="5D1F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0457FEB">
            <w:pPr>
              <w:spacing w:beforeLines="0" w:afterLines="0" w:line="375" w:lineRule="exact"/>
              <w:ind w:left="20"/>
              <w:rPr>
                <w:rFonts w:hint="eastAsia" w:ascii="宋体" w:hAnsi="宋体"/>
                <w:sz w:val="32"/>
                <w:szCs w:val="24"/>
              </w:rPr>
            </w:pPr>
            <w:r>
              <w:rPr>
                <w:rFonts w:hint="eastAsia" w:ascii="宋体" w:hAnsi="宋体"/>
                <w:sz w:val="32"/>
                <w:szCs w:val="24"/>
              </w:rPr>
              <w:t>20、专项资金预算汇总表</w:t>
            </w:r>
          </w:p>
        </w:tc>
      </w:tr>
      <w:tr w14:paraId="4928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2953BD1">
            <w:pPr>
              <w:spacing w:beforeLines="0" w:afterLines="0" w:line="375" w:lineRule="exact"/>
              <w:ind w:left="20"/>
              <w:rPr>
                <w:rFonts w:hint="eastAsia" w:ascii="宋体" w:hAnsi="宋体"/>
                <w:sz w:val="32"/>
                <w:szCs w:val="24"/>
              </w:rPr>
            </w:pPr>
            <w:r>
              <w:rPr>
                <w:rFonts w:hint="eastAsia" w:ascii="宋体" w:hAnsi="宋体"/>
                <w:sz w:val="32"/>
                <w:szCs w:val="24"/>
              </w:rPr>
              <w:t>21、项目支出绩效目标表</w:t>
            </w:r>
          </w:p>
        </w:tc>
      </w:tr>
      <w:tr w14:paraId="7A99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7D8A148">
            <w:pPr>
              <w:spacing w:beforeLines="0" w:afterLines="0" w:line="375" w:lineRule="exact"/>
              <w:ind w:left="20"/>
              <w:rPr>
                <w:rFonts w:hint="eastAsia" w:ascii="宋体" w:hAnsi="宋体"/>
                <w:sz w:val="32"/>
                <w:szCs w:val="24"/>
              </w:rPr>
            </w:pPr>
            <w:r>
              <w:rPr>
                <w:rFonts w:hint="eastAsia" w:ascii="宋体" w:hAnsi="宋体"/>
                <w:sz w:val="32"/>
                <w:szCs w:val="24"/>
              </w:rPr>
              <w:t>22、单位整体支出绩效目标表</w:t>
            </w:r>
          </w:p>
        </w:tc>
      </w:tr>
      <w:tr w14:paraId="2F5B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F50F010">
            <w:pPr>
              <w:spacing w:beforeLines="0" w:afterLines="0" w:line="375" w:lineRule="exact"/>
              <w:ind w:left="20"/>
              <w:rPr>
                <w:rFonts w:hint="eastAsia" w:ascii="宋体" w:hAnsi="宋体"/>
                <w:sz w:val="32"/>
                <w:szCs w:val="24"/>
              </w:rPr>
            </w:pPr>
            <w:r>
              <w:rPr>
                <w:rFonts w:hint="eastAsia" w:ascii="宋体" w:hAnsi="宋体"/>
                <w:sz w:val="32"/>
                <w:szCs w:val="24"/>
              </w:rPr>
              <w:t>23、一般公共预算基本支出表</w:t>
            </w:r>
          </w:p>
        </w:tc>
      </w:tr>
      <w:tr w14:paraId="4595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0911A41">
            <w:pPr>
              <w:spacing w:beforeLines="0" w:afterLines="0" w:line="375" w:lineRule="exact"/>
              <w:ind w:left="20"/>
              <w:rPr>
                <w:rFonts w:hint="eastAsia" w:ascii="宋体" w:hAnsi="宋体"/>
                <w:color w:val="FF0000"/>
                <w:sz w:val="32"/>
                <w:szCs w:val="24"/>
              </w:rPr>
            </w:pPr>
            <w:r>
              <w:rPr>
                <w:rFonts w:hint="eastAsia" w:ascii="宋体" w:hAnsi="宋体"/>
                <w:b/>
                <w:color w:val="FF0000"/>
                <w:sz w:val="32"/>
                <w:szCs w:val="24"/>
              </w:rPr>
              <w:t>注：以上单位预算公开报表中，空表表示本单位无相关收支情况。</w:t>
            </w:r>
          </w:p>
        </w:tc>
      </w:tr>
    </w:tbl>
    <w:p w14:paraId="320B7F2D">
      <w:pPr>
        <w:spacing w:beforeLines="0" w:afterLines="0"/>
        <w:rPr>
          <w:rFonts w:hint="default"/>
          <w:sz w:val="24"/>
          <w:szCs w:val="24"/>
        </w:rPr>
      </w:pPr>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roman"/>
    <w:pitch w:val="default"/>
    <w:sig w:usb0="E0002EFF" w:usb1="C000785B" w:usb2="00000009" w:usb3="00000000" w:csb0="400001FF" w:csb1="FFFF0000"/>
  </w:font>
  <w:font w:name="微软雅黑">
    <w:panose1 w:val="020B0503020204020204"/>
    <w:charset w:val="86"/>
    <w:family w:val="roman"/>
    <w:pitch w:val="default"/>
    <w:sig w:usb0="80000287" w:usb1="2ACF3C50" w:usb2="00000016" w:usb3="00000000" w:csb0="0004001F" w:csb1="00000000"/>
  </w:font>
  <w:font w:name="Dialog">
    <w:altName w:val="Times New Roman"/>
    <w:panose1 w:val="00000000000000000000"/>
    <w:charset w:val="86"/>
    <w:family w:val="roma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OGI2NjVkMTY0NjNlYjRjOGJjNzk2ZWRiYTVjODMifQ=="/>
  </w:docVars>
  <w:rsids>
    <w:rsidRoot w:val="00172A27"/>
    <w:rsid w:val="46396C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iPriority="34" w:semiHidden="0" w:name="List Paragraph"/>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99"/>
    <w:pPr>
      <w:widowControl w:val="0"/>
      <w:autoSpaceDE w:val="0"/>
      <w:autoSpaceDN w:val="0"/>
      <w:adjustRightInd w:val="0"/>
      <w:spacing w:beforeLines="0" w:afterLines="0"/>
    </w:pPr>
    <w:rPr>
      <w:rFonts w:hint="default" w:ascii="Arial" w:hAnsi="Arial" w:eastAsia="宋体"/>
      <w:color w:val="000000"/>
      <w:sz w:val="24"/>
      <w:szCs w:val="24"/>
    </w:rPr>
  </w:style>
  <w:style w:type="paragraph" w:styleId="3">
    <w:name w:val="heading 1"/>
    <w:unhideWhenUsed/>
    <w:uiPriority w:val="99"/>
    <w:pPr>
      <w:widowControl w:val="0"/>
      <w:autoSpaceDE w:val="0"/>
      <w:autoSpaceDN w:val="0"/>
      <w:adjustRightInd w:val="0"/>
      <w:spacing w:beforeLines="0" w:afterLines="0"/>
    </w:pPr>
    <w:rPr>
      <w:rFonts w:hint="default" w:ascii="Arial" w:hAnsi="Arial" w:eastAsia="宋体"/>
      <w:b/>
      <w:color w:val="000000"/>
      <w:sz w:val="32"/>
      <w:szCs w:val="24"/>
    </w:rPr>
  </w:style>
  <w:style w:type="paragraph" w:styleId="4">
    <w:name w:val="heading 2"/>
    <w:unhideWhenUsed/>
    <w:uiPriority w:val="99"/>
    <w:pPr>
      <w:widowControl w:val="0"/>
      <w:autoSpaceDE w:val="0"/>
      <w:autoSpaceDN w:val="0"/>
      <w:adjustRightInd w:val="0"/>
      <w:spacing w:beforeLines="0" w:afterLines="0"/>
    </w:pPr>
    <w:rPr>
      <w:rFonts w:hint="default" w:ascii="Arial" w:hAnsi="Arial" w:eastAsia="宋体"/>
      <w:b/>
      <w:i/>
      <w:color w:val="000000"/>
      <w:sz w:val="28"/>
      <w:szCs w:val="24"/>
    </w:rPr>
  </w:style>
  <w:style w:type="paragraph" w:styleId="5">
    <w:name w:val="heading 3"/>
    <w:unhideWhenUsed/>
    <w:uiPriority w:val="99"/>
    <w:pPr>
      <w:widowControl w:val="0"/>
      <w:autoSpaceDE w:val="0"/>
      <w:autoSpaceDN w:val="0"/>
      <w:adjustRightInd w:val="0"/>
      <w:spacing w:beforeLines="0" w:afterLines="0"/>
    </w:pPr>
    <w:rPr>
      <w:rFonts w:hint="default" w:ascii="Arial" w:hAnsi="Arial" w:eastAsia="宋体"/>
      <w:b/>
      <w:color w:val="000000"/>
      <w:sz w:val="26"/>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beforeLines="0" w:after="200" w:afterLines="0" w:line="276" w:lineRule="auto"/>
    </w:pPr>
    <w:rPr>
      <w:rFonts w:hint="default" w:ascii="Arial" w:hAnsi="Arial"/>
      <w:sz w:val="24"/>
      <w:szCs w:val="24"/>
    </w:rPr>
  </w:style>
  <w:style w:type="paragraph" w:styleId="8">
    <w:name w:val="List Paragraph"/>
    <w:basedOn w:val="1"/>
    <w:unhideWhenUsed/>
    <w:qFormat/>
    <w:uiPriority w:val="34"/>
    <w:pPr>
      <w:spacing w:beforeLines="0" w:afterLines="0"/>
      <w:ind w:left="641" w:firstLine="420" w:firstLineChars="200"/>
    </w:pPr>
    <w:rPr>
      <w:rFonts w:hint="default" w:ascii="Calibri" w:hAnsi="Calibri"/>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3535</Words>
  <Characters>3890</Characters>
  <TotalTime>3</TotalTime>
  <ScaleCrop>false</ScaleCrop>
  <LinksUpToDate>false</LinksUpToDate>
  <CharactersWithSpaces>3973</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2024-09-19T07:35:55Z</dcterms:created>
  <dc:creator>Lenovo</dc:creator>
  <cp:lastModifiedBy>WPS_1569910839</cp:lastModifiedBy>
  <dcterms:modified xsi:type="dcterms:W3CDTF">2024-09-19T07:40:00Z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93F31E2C14844695A43A0171CC9752BD_12</vt:lpwstr>
  </property>
</Properties>
</file>