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岳阳市第十四中学部门决算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480" w:lineRule="exact"/>
        <w:jc w:val="center"/>
        <w:rPr>
          <w:b/>
          <w:sz w:val="36"/>
          <w:szCs w:val="28"/>
        </w:rPr>
      </w:pPr>
      <w:r>
        <w:rPr>
          <w:rFonts w:hint="eastAsia"/>
          <w:b/>
          <w:sz w:val="36"/>
          <w:szCs w:val="28"/>
        </w:rPr>
        <w:t>目录</w:t>
      </w:r>
    </w:p>
    <w:p>
      <w:pPr>
        <w:pStyle w:val="9"/>
        <w:spacing w:line="480" w:lineRule="exact"/>
        <w:rPr>
          <w:rFonts w:ascii="仿宋_GB2312" w:hAnsi="仿宋_GB2312" w:cs="仿宋_GB2312"/>
          <w:b/>
          <w:sz w:val="28"/>
          <w:szCs w:val="28"/>
        </w:rPr>
      </w:pPr>
      <w:r>
        <w:rPr>
          <w:rFonts w:hint="eastAsia"/>
          <w:b/>
          <w:sz w:val="28"/>
          <w:szCs w:val="28"/>
        </w:rPr>
        <w:t>第一部分  岳阳市第十四中学单位概况</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9"/>
        <w:spacing w:line="48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21年度部门决算表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48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48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21年度部门决算情况说明</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9"/>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  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岳阳市第十四中学单位概况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firstLine="64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pStyle w:val="10"/>
        <w:ind w:left="720" w:firstLine="0" w:firstLineChars="0"/>
        <w:jc w:val="left"/>
        <w:rPr>
          <w:rFonts w:asciiTheme="minorEastAsia" w:hAnsiTheme="minorEastAsia"/>
          <w:sz w:val="32"/>
          <w:szCs w:val="32"/>
        </w:rPr>
      </w:pPr>
      <w:r>
        <w:rPr>
          <w:rFonts w:asciiTheme="minorEastAsia" w:hAnsiTheme="minorEastAsia"/>
          <w:sz w:val="32"/>
          <w:szCs w:val="32"/>
        </w:rPr>
        <w:t>1.</w:t>
      </w:r>
      <w:r>
        <w:rPr>
          <w:rFonts w:hint="eastAsia" w:asciiTheme="minorEastAsia" w:hAnsiTheme="minorEastAsia"/>
          <w:sz w:val="32"/>
          <w:szCs w:val="32"/>
        </w:rPr>
        <w:t>负责贯彻执行《教育法》，《教师法》等法规政策。</w:t>
      </w:r>
    </w:p>
    <w:p>
      <w:pPr>
        <w:pStyle w:val="10"/>
        <w:ind w:left="720" w:firstLine="0" w:firstLineChars="0"/>
        <w:jc w:val="left"/>
        <w:rPr>
          <w:rFonts w:asciiTheme="minorEastAsia" w:hAnsiTheme="minorEastAsia"/>
          <w:sz w:val="32"/>
          <w:szCs w:val="32"/>
        </w:rPr>
      </w:pPr>
      <w:r>
        <w:rPr>
          <w:rFonts w:asciiTheme="minorEastAsia" w:hAnsiTheme="minorEastAsia"/>
          <w:sz w:val="32"/>
          <w:szCs w:val="32"/>
        </w:rPr>
        <w:t>2.</w:t>
      </w:r>
      <w:r>
        <w:rPr>
          <w:rFonts w:hint="eastAsia" w:asciiTheme="minorEastAsia" w:hAnsiTheme="minorEastAsia"/>
          <w:sz w:val="32"/>
          <w:szCs w:val="32"/>
        </w:rPr>
        <w:t>负责在校学生的文化科学知识，思想品德，体育，美育及劳动技能教育。</w:t>
      </w:r>
    </w:p>
    <w:p>
      <w:pPr>
        <w:pStyle w:val="10"/>
        <w:ind w:left="720" w:firstLine="0" w:firstLineChars="0"/>
        <w:jc w:val="left"/>
        <w:rPr>
          <w:rFonts w:asciiTheme="minorEastAsia" w:hAnsiTheme="minorEastAsia"/>
          <w:sz w:val="32"/>
          <w:szCs w:val="32"/>
        </w:rPr>
      </w:pPr>
      <w:r>
        <w:rPr>
          <w:rFonts w:asciiTheme="minorEastAsia" w:hAnsiTheme="minorEastAsia"/>
          <w:sz w:val="32"/>
          <w:szCs w:val="32"/>
        </w:rPr>
        <w:t>3.</w:t>
      </w:r>
      <w:r>
        <w:rPr>
          <w:rFonts w:hint="eastAsia" w:asciiTheme="minorEastAsia" w:hAnsiTheme="minorEastAsia"/>
          <w:sz w:val="32"/>
          <w:szCs w:val="32"/>
        </w:rPr>
        <w:t>负责学校教师的政治思想教育和业务培训。</w:t>
      </w:r>
    </w:p>
    <w:p>
      <w:pPr>
        <w:pStyle w:val="10"/>
        <w:ind w:left="720" w:firstLine="0" w:firstLineChars="0"/>
        <w:jc w:val="left"/>
        <w:rPr>
          <w:rFonts w:asciiTheme="minorEastAsia" w:hAnsiTheme="minorEastAsia"/>
          <w:sz w:val="32"/>
          <w:szCs w:val="32"/>
        </w:rPr>
      </w:pPr>
      <w:r>
        <w:rPr>
          <w:rFonts w:asciiTheme="minorEastAsia" w:hAnsiTheme="minorEastAsia"/>
          <w:sz w:val="32"/>
          <w:szCs w:val="32"/>
        </w:rPr>
        <w:t>4.</w:t>
      </w:r>
      <w:r>
        <w:rPr>
          <w:rFonts w:hint="eastAsia" w:asciiTheme="minorEastAsia" w:hAnsiTheme="minorEastAsia"/>
          <w:sz w:val="32"/>
          <w:szCs w:val="32"/>
        </w:rPr>
        <w:t>负责在校师生的安全保卫及后勤服务。</w:t>
      </w:r>
    </w:p>
    <w:p>
      <w:pPr>
        <w:pStyle w:val="10"/>
        <w:ind w:left="720" w:firstLine="0" w:firstLineChars="0"/>
        <w:jc w:val="left"/>
        <w:rPr>
          <w:rFonts w:asciiTheme="minorEastAsia" w:hAnsiTheme="minorEastAsia"/>
          <w:sz w:val="32"/>
          <w:szCs w:val="32"/>
        </w:rPr>
      </w:pPr>
      <w:r>
        <w:rPr>
          <w:rFonts w:asciiTheme="minorEastAsia" w:hAnsiTheme="minorEastAsia"/>
          <w:sz w:val="32"/>
          <w:szCs w:val="32"/>
        </w:rPr>
        <w:t>5.</w:t>
      </w:r>
      <w:r>
        <w:rPr>
          <w:rFonts w:hint="eastAsia" w:asciiTheme="minorEastAsia" w:hAnsiTheme="minorEastAsia"/>
          <w:sz w:val="32"/>
          <w:szCs w:val="32"/>
        </w:rPr>
        <w:t>完成市教育局交办的其他工作。</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（一）内设机构设置。岳阳市第十四中学内设机构包括：办公室、教务处、督导室、教研处、政教处、总务处。</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（二）决算单位构成。岳阳市第十四中学</w:t>
      </w:r>
      <w:r>
        <w:rPr>
          <w:rFonts w:asciiTheme="minorEastAsia" w:hAnsiTheme="minorEastAsia"/>
          <w:bCs/>
          <w:kern w:val="0"/>
          <w:sz w:val="32"/>
          <w:szCs w:val="32"/>
        </w:rPr>
        <w:t>20</w:t>
      </w:r>
      <w:r>
        <w:rPr>
          <w:rFonts w:hint="eastAsia" w:asciiTheme="minorEastAsia" w:hAnsiTheme="minorEastAsia"/>
          <w:bCs/>
          <w:kern w:val="0"/>
          <w:sz w:val="32"/>
          <w:szCs w:val="32"/>
        </w:rPr>
        <w:t>21年部门决算公开单位构成包括：岳阳市第十四中学本级。</w:t>
      </w:r>
    </w:p>
    <w:p>
      <w:pPr>
        <w:widowControl/>
        <w:spacing w:line="600" w:lineRule="exact"/>
        <w:ind w:firstLine="640" w:firstLineChars="200"/>
        <w:rPr>
          <w:rFonts w:asciiTheme="minorEastAsia" w:hAnsiTheme="minorEastAsia"/>
          <w:bCs/>
          <w:i/>
          <w:i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（由于决算编制时金额明细到了“分”，而公开表格显示和公开文档取数只到了“万元”，可能导致0.01的尾数差异。）</w:t>
      </w:r>
    </w:p>
    <w:p>
      <w:pPr>
        <w:pStyle w:val="9"/>
        <w:ind w:firstLine="640" w:firstLineChars="200"/>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2021年度收、支总计3354.00万元。与上年相比，减少112.51万元，减少3.25%，主要是因为财政代扣住房保障支出未列入当年决算等。</w:t>
      </w:r>
    </w:p>
    <w:p>
      <w:pPr>
        <w:pStyle w:val="9"/>
        <w:ind w:firstLine="640" w:firstLineChars="200"/>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2021年度收入合计3344.00万元，其中：财政拨款收入2930.00万元，占87.62%；上级补助收入0万元；事业收入414.00万元，占12.38%；经营收入0万元；附属单位上缴收入0万元；其他收入0万元。</w:t>
      </w:r>
    </w:p>
    <w:p>
      <w:pPr>
        <w:pStyle w:val="9"/>
        <w:ind w:firstLine="640" w:firstLineChars="200"/>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2021年度支出合计3354.01万元，其中：基本支出3144.72万元，占93.76%；项目支出209.29万元，占6.24%；上缴上级支出0万元；经营支出0万元；对附属单位补助支出0万元。</w:t>
      </w:r>
    </w:p>
    <w:p>
      <w:pPr>
        <w:pStyle w:val="9"/>
        <w:ind w:firstLine="640" w:firstLineChars="200"/>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2021年度财政拨款收、支总计2940.00万元，与上年相比，减少150.80万元,减少4.88%，主要是因为财政代扣住房保障支出未列入当年决算等。</w:t>
      </w:r>
    </w:p>
    <w:p>
      <w:pPr>
        <w:pStyle w:val="9"/>
        <w:ind w:firstLine="640" w:firstLineChars="20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2021年度财政拨款支出2940.00万元，占本年支出合计的87.66%，与上年相比，财政拨款支出减少140.80万元，减少4.57%，主要是因为财政代扣住房保障支出未列入当年决算等。</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2940.00万元，主要用于以下方面：教育（类）支出2572.49万元，占87.50%，文化旅游体育与传媒（类）支出17.40万元，占0.59%，社会保障和就业（类）支出243.37万元，占8.28%，卫生健康（类）支出106.75万元，占3.63%。</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2021年度财政拨款支出年初预算数为1851.76万元，支出决算数为2940.00万元，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158.77</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1、教育（类）教育管理事务（款）一般行政管理事务（项）。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年初预算为0万元，支出决算为23.88万元，由于预算数为0，无法计算百分比。决算数大于年初预算数的主要原因是年中财政下拨中小学生学法比赛经费、学考经费等。</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2、教育（类）普通教育（款）高中教育（项）。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年初预算为1502.66万元，支出决算为1513.28万元，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100.71%</w:t>
      </w:r>
      <w:r>
        <w:rPr>
          <w:rFonts w:hint="eastAsia" w:asciiTheme="minorEastAsia" w:hAnsiTheme="minorEastAsia" w:eastAsiaTheme="minorEastAsia"/>
          <w:sz w:val="32"/>
          <w:szCs w:val="32"/>
        </w:rPr>
        <w:t>。决算数大于年初预算数的主要原因是年中财政追加贫困学生免学费、免教科书资金等。</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3、教育（类）普通教育（款）其他普通教育（项）。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年初预算数为0万元，支出决算为34.18万元，由于预算数为0，无法计算百分比。决算数大于年初预算数的主要原因是年中财政下拨高考综合改革专项资金等。</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4、教育（类）教育费附加（款）其他教育费附加（项）。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年初预算数为12万元，支出决算为993.65万元，</w:t>
      </w:r>
      <w:r>
        <w:rPr>
          <w:rFonts w:hint="eastAsia" w:asciiTheme="minorEastAsia" w:hAnsiTheme="minorEastAsia" w:eastAsiaTheme="minorEastAsia"/>
          <w:sz w:val="32"/>
          <w:szCs w:val="32"/>
          <w:lang w:eastAsia="zh-CN"/>
        </w:rPr>
        <w:t>完成</w:t>
      </w: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的</w:t>
      </w:r>
      <w:r>
        <w:rPr>
          <w:rFonts w:hint="eastAsia" w:asciiTheme="minorEastAsia" w:hAnsiTheme="minorEastAsia" w:eastAsiaTheme="minorEastAsia"/>
          <w:sz w:val="32"/>
          <w:szCs w:val="32"/>
          <w:lang w:val="en-US" w:eastAsia="zh-CN"/>
        </w:rPr>
        <w:t>8280.42</w:t>
      </w:r>
      <w:r>
        <w:rPr>
          <w:rFonts w:hint="eastAsia" w:asciiTheme="minorEastAsia" w:hAnsiTheme="minorEastAsia" w:eastAsiaTheme="minorEastAsia"/>
          <w:sz w:val="32"/>
          <w:szCs w:val="32"/>
        </w:rPr>
        <w:t>%。决算数大于年初预算数的主要原因是年中年末财政追加两期生均经费、绩效考核奖、综治奖等。</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5、教育（类）其他教育（款）其他教育（项）。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年初预算数为0万元，支出决算为7.50万元，由于预算数为0，无法计算百分比。决算数大于年初预算数的主要原因是年末财政追加临聘教师经费。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6、文化旅游体育与传媒（类）体育（款）体育竞赛（项）。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年初预算数为0万元，支出决算为7.40万元，由于预算数为0，无法计算百分比。决算数大于年初预算数的主要原因是年中财政追加省运会参赛经费。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7、文化旅游体育与传媒（类）体育（款）体育场馆（项）。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年初预算数为0万元，支出决算为10.00万元，由于预算数为0，无法计算百分比。决算数大于预算数的主要原因年中财政追加第十四届省运会备战经费。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8、社会保障和就业（类）行政事业单位养老（款）机关事业单位基本养老保险缴费（项）。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年初预算数为230.35万元，支出决算为230.35万元，完成年初预算的100%。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9、社会保障和就业（类）抚恤（款）其他优抚（项）。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年初预算数为0万元，支出决算为13.02万元，由于预算数为0，无法计算百分比。决算数大于预算数的主要原因是年中财政追加抚恤金。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10、卫生健康（类）行政事业单位医疗（款）事业单位医疗（项）。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年初预算数为106.75万元，支出决</w:t>
      </w:r>
      <w:bookmarkStart w:id="0" w:name="_GoBack"/>
      <w:bookmarkEnd w:id="0"/>
      <w:r>
        <w:rPr>
          <w:rFonts w:hint="eastAsia" w:asciiTheme="minorEastAsia" w:hAnsiTheme="minorEastAsia" w:eastAsiaTheme="minorEastAsia"/>
          <w:sz w:val="32"/>
          <w:szCs w:val="32"/>
        </w:rPr>
        <w:t>算为106.75万元，完成年初预算的100%。</w:t>
      </w:r>
    </w:p>
    <w:p>
      <w:pPr>
        <w:pStyle w:val="9"/>
        <w:ind w:firstLine="640" w:firstLineChars="2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2021年度财政拨款基本支出2730.71万元，其中：人员经费2567.73万元，占基本支出的94.03%,主要包括主要包括基本工资、</w:t>
      </w:r>
      <w:r>
        <w:rPr>
          <w:rFonts w:hint="eastAsia" w:asciiTheme="minorEastAsia" w:hAnsiTheme="minorEastAsia" w:eastAsiaTheme="minorEastAsia"/>
          <w:sz w:val="32"/>
          <w:szCs w:val="32"/>
          <w:lang w:val="zh-CN"/>
        </w:rPr>
        <w:t>奖金、绩效工资、机关事业单位基本养老保险缴费、职工基本医疗保险缴费、其他社会保障缴费、其他工资福利支出、生活补助、其他对个人和家庭的补助</w:t>
      </w:r>
      <w:r>
        <w:rPr>
          <w:rFonts w:hint="eastAsia" w:asciiTheme="minorEastAsia" w:hAnsiTheme="minorEastAsia" w:eastAsiaTheme="minorEastAsia"/>
          <w:sz w:val="32"/>
          <w:szCs w:val="32"/>
        </w:rPr>
        <w:t>；公用经费162.98万元，占基本支出的5.97%，主要包括办公费、印刷费、水费、电费、物业管理费、差旅费、维修（护）费、培训费、专用材料费、劳务费、工会经费、其他交通费用、其他商品和服务支出、信息网络及软件购置更新。</w:t>
      </w:r>
    </w:p>
    <w:p>
      <w:pPr>
        <w:pStyle w:val="9"/>
        <w:ind w:firstLine="640" w:firstLineChars="200"/>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2021年度“三公”经费财政拨款支出预算为1.42万元，支出决算为1.42万元，完成预算的100%，其中：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因公出国（境）费支出预算为0万元，支出决算为0万元，由于预算数为0，无法计算完成百分比，主要原因为本年未安排因公出国（境）；与上年相比无变化，主要原因是未安排外事出访活动。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1.42万元，支出决算为1.42万元，完成预算的100%，决算数等于预算数的主要原因是财政年初“三公”经费的全年预算仅安排了公务接待费。与上年相比减少0.02万元，减少1.39%,减少的主要原因是贯彻落实厉行节约，紧缩开支的方针。</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公务用车购置费支出预算为0万元，支出决算为0万元，由于预算数为0，无法计算完成百分比，主要原因为本年未购置公务用车；与上年相比无变化，主要原因为两年均未购置公务用车。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公务用车运行维护费支出预算为0万元，支出决算为0万元，由于预算数为0，无法计算完成百分比，主要原因为本年未购置公务用车；与上年相比无变化，主要原因为两年均未购置公务用车。</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2021年度“三公”经费财政拨款支出决算中，公务接待费支出决算1.42万元，占100%,因公出国（境）费支出决算0万元，占0%,公务用车购置费及运行维护费支出决算0万元，占0%。其中：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2、公务接待费支出决算为1.42万元，全年共接待来访团组2个、来宾20人次，主要是五市十校共同体发生的接待支出。</w:t>
      </w:r>
    </w:p>
    <w:p>
      <w:pPr>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3、公务用车购置费及运行维护费支出决算为0万元，其中：公务用车购置费0万元，单位更新公务用车0辆。公务用车运行维护费0万元。截止2021年12月31日，我单位开支财政拨款的公务用车保有量为0辆。</w:t>
      </w:r>
    </w:p>
    <w:p>
      <w:pPr>
        <w:pStyle w:val="9"/>
        <w:ind w:firstLine="640" w:firstLineChars="200"/>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color w:val="auto"/>
          <w:sz w:val="32"/>
          <w:szCs w:val="32"/>
        </w:rPr>
        <w:t>本单位无政府性基金收支。</w:t>
      </w:r>
    </w:p>
    <w:p>
      <w:pPr>
        <w:pStyle w:val="9"/>
        <w:ind w:firstLine="640" w:firstLineChars="200"/>
        <w:rPr>
          <w:rFonts w:hAnsi="黑体"/>
          <w:b/>
          <w:sz w:val="32"/>
          <w:szCs w:val="32"/>
        </w:rPr>
      </w:pPr>
      <w:r>
        <w:rPr>
          <w:rFonts w:hint="eastAsia" w:hAnsi="黑体"/>
          <w:b/>
          <w:sz w:val="32"/>
          <w:szCs w:val="32"/>
        </w:rPr>
        <w:t>九、国有资本经营预算财政拨款支出决算情况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本单位无国有资本经营预算财政拨款支出。</w:t>
      </w:r>
    </w:p>
    <w:p>
      <w:pPr>
        <w:pStyle w:val="9"/>
        <w:ind w:firstLine="640" w:firstLineChars="200"/>
        <w:rPr>
          <w:rFonts w:hAnsi="黑体"/>
          <w:b/>
          <w:sz w:val="32"/>
          <w:szCs w:val="32"/>
        </w:rPr>
      </w:pPr>
      <w:r>
        <w:rPr>
          <w:rFonts w:hint="eastAsia" w:hAnsi="黑体"/>
          <w:b/>
          <w:sz w:val="32"/>
          <w:szCs w:val="32"/>
        </w:rPr>
        <w:t>十、机关运行经费支出说明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本部门2021年度机关运行经费支出0万元</w:t>
      </w:r>
      <w:r>
        <w:rPr>
          <w:rFonts w:hint="eastAsia" w:asciiTheme="minorEastAsia" w:hAnsiTheme="minorEastAsia" w:eastAsiaTheme="minorEastAsia"/>
          <w:color w:val="auto"/>
          <w:sz w:val="32"/>
          <w:szCs w:val="32"/>
        </w:rPr>
        <w:t>。</w:t>
      </w:r>
    </w:p>
    <w:p>
      <w:pPr>
        <w:pStyle w:val="9"/>
        <w:ind w:firstLine="640" w:firstLineChars="200"/>
        <w:rPr>
          <w:rFonts w:hAnsi="黑体"/>
          <w:b/>
          <w:sz w:val="32"/>
          <w:szCs w:val="32"/>
        </w:rPr>
      </w:pPr>
      <w:r>
        <w:rPr>
          <w:rFonts w:hint="eastAsia" w:hAnsi="黑体"/>
          <w:b/>
          <w:sz w:val="32"/>
          <w:szCs w:val="32"/>
        </w:rPr>
        <w:t>十一、一般性支出情况说明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9.68万元，用于开展各类教师线上线下培训，人数146人，内容为教师远程培训、暑期骨干教师新课标培训、生涯规划培训等；未举办节庆、晚会、论坛、赛事活动，开支0万元。</w:t>
      </w:r>
    </w:p>
    <w:p>
      <w:pPr>
        <w:pStyle w:val="9"/>
        <w:ind w:firstLine="640" w:firstLineChars="200"/>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67.88万元，其中：政府采购货物支出0万元、政府采购工程支出0万元、政府采购服务支出67.88万元。授予中小企业合同金额67.88万元，占政府采购支出总额的100%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100%。</w:t>
      </w:r>
    </w:p>
    <w:p>
      <w:pPr>
        <w:pStyle w:val="9"/>
        <w:ind w:firstLine="640" w:firstLineChars="200"/>
        <w:rPr>
          <w:rFonts w:hAnsi="黑体"/>
          <w:b/>
          <w:sz w:val="32"/>
          <w:szCs w:val="32"/>
        </w:rPr>
      </w:pPr>
      <w:r>
        <w:rPr>
          <w:rFonts w:hint="eastAsia" w:hAnsi="黑体"/>
          <w:b/>
          <w:sz w:val="32"/>
          <w:szCs w:val="32"/>
        </w:rPr>
        <w:t>十三、国有资产占用情况说明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ind w:firstLine="640" w:firstLineChars="200"/>
        <w:rPr>
          <w:rFonts w:hAnsi="黑体"/>
          <w:b/>
          <w:sz w:val="32"/>
          <w:szCs w:val="32"/>
        </w:rPr>
      </w:pPr>
      <w:r>
        <w:rPr>
          <w:rFonts w:hint="eastAsia" w:hAnsi="黑体"/>
          <w:b/>
          <w:sz w:val="32"/>
          <w:szCs w:val="32"/>
        </w:rPr>
        <w:t>十四、2021年度预算绩效情况说明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年度一般公共预算项目支出全面开展绩效自评，其中，一级项目0个，二级项目1个，共涉及资金12.00万元，占一般公共预算项目支出总额的5.73</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ascii="宋体" w:hAnsi="宋体" w:eastAsia="宋体" w:cs="黑体"/>
          <w:color w:val="000000"/>
          <w:kern w:val="0"/>
          <w:sz w:val="32"/>
          <w:szCs w:val="32"/>
        </w:rPr>
      </w:pPr>
      <w:r>
        <w:rPr>
          <w:rFonts w:hint="eastAsia" w:cs="黑体" w:asciiTheme="minorEastAsia" w:hAnsiTheme="minorEastAsia"/>
          <w:color w:val="000000"/>
          <w:kern w:val="0"/>
          <w:sz w:val="32"/>
          <w:szCs w:val="32"/>
        </w:rPr>
        <w:t>组织对“专职保安人员经费”等1个项目开展了部门评价，涉及一般公共预算支出12.00万元，政府性基金预算支出0万元，国有资本经营预算支出0万元。从评价情况来看,</w:t>
      </w:r>
      <w:r>
        <w:rPr>
          <w:rFonts w:hint="eastAsia" w:ascii="宋体" w:hAnsi="宋体" w:eastAsia="宋体" w:cs="黑体"/>
          <w:color w:val="000000"/>
          <w:kern w:val="0"/>
          <w:sz w:val="32"/>
          <w:szCs w:val="32"/>
        </w:rPr>
        <w:t>进一步完善了评价体系,充分发挥绩效评价的杠杆作用，促进学校教育的均衡发展，力求使考核工作做到科学、合理，充分体现以人为本的核心理念。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组织对1个单位开展整体支出绩效评价，涉及一般公共预算支出2940万元，政府性基金预算支出0万元。从评价情况来看，</w:t>
      </w:r>
      <w:r>
        <w:rPr>
          <w:rFonts w:hint="eastAsia" w:ascii="宋体" w:hAnsi="宋体" w:eastAsia="宋体" w:cs="黑体"/>
          <w:color w:val="000000"/>
          <w:kern w:val="0"/>
          <w:sz w:val="32"/>
          <w:szCs w:val="32"/>
        </w:rPr>
        <w:t>项目建设、设备添置全部纳入财政预算，学校派人参与项目建设，完工后交付学校使用。改善了学校办学条件，从申报、立项、设计、招（投）标、施工等程序规范，促进了学校的均衡发展，资金使用达到了预期效果，有效地抑制了盲目投资和建设浪费。</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bCs/>
          <w:color w:val="000000"/>
          <w:kern w:val="0"/>
          <w:sz w:val="32"/>
          <w:szCs w:val="32"/>
        </w:rPr>
      </w:pPr>
      <w:r>
        <w:rPr>
          <w:rFonts w:hint="eastAsia" w:cs="黑体" w:asciiTheme="minorEastAsia" w:hAnsiTheme="minorEastAsia"/>
          <w:color w:val="000000"/>
          <w:kern w:val="0"/>
          <w:sz w:val="32"/>
          <w:szCs w:val="32"/>
        </w:rPr>
        <w:t>专职保安人员经费项目绩效自评综述：根据年初设定的绩效目标，项目绩效自评得分为98.25分。项目全年预算数为12万元，执行数为12万元，完成预算的100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ascii="宋体" w:hAnsi="宋体" w:eastAsia="宋体" w:cs="黑体"/>
          <w:color w:val="000000"/>
          <w:kern w:val="0"/>
          <w:sz w:val="32"/>
          <w:szCs w:val="32"/>
        </w:rPr>
        <w:t>无重大校园安全责任事故</w:t>
      </w:r>
      <w:r>
        <w:rPr>
          <w:rFonts w:hint="eastAsia" w:cs="黑体" w:asciiTheme="minorEastAsia" w:hAnsiTheme="minorEastAsia"/>
          <w:color w:val="000000"/>
          <w:kern w:val="0"/>
          <w:sz w:val="32"/>
          <w:szCs w:val="32"/>
        </w:rPr>
        <w:t>；二是</w:t>
      </w:r>
      <w:r>
        <w:rPr>
          <w:rFonts w:hint="eastAsia" w:ascii="宋体" w:hAnsi="宋体" w:eastAsia="宋体" w:cs="黑体"/>
          <w:color w:val="000000"/>
          <w:kern w:val="0"/>
          <w:sz w:val="32"/>
          <w:szCs w:val="32"/>
        </w:rPr>
        <w:t>消除学校安全隐患，力争做到校园安全无死角；三是</w:t>
      </w:r>
      <w:r>
        <w:rPr>
          <w:rFonts w:hint="eastAsia" w:cs="黑体" w:asciiTheme="minorEastAsia" w:hAnsiTheme="minorEastAsia"/>
          <w:bCs/>
          <w:color w:val="000000"/>
          <w:kern w:val="0"/>
          <w:sz w:val="32"/>
          <w:szCs w:val="32"/>
        </w:rPr>
        <w:t>保全学校教学活动秩序良好，治安稳定，老师学生家长安全感提升。</w:t>
      </w:r>
    </w:p>
    <w:p>
      <w:pPr>
        <w:autoSpaceDE w:val="0"/>
        <w:autoSpaceDN w:val="0"/>
        <w:adjustRightInd w:val="0"/>
        <w:ind w:firstLine="640" w:firstLineChars="200"/>
        <w:jc w:val="left"/>
        <w:rPr>
          <w:rFonts w:cs="黑体" w:asciiTheme="minorEastAsia" w:hAnsiTheme="minorEastAsia"/>
          <w:bCs/>
          <w:color w:val="000000"/>
          <w:kern w:val="0"/>
          <w:sz w:val="32"/>
          <w:szCs w:val="32"/>
        </w:rPr>
      </w:pPr>
      <w:r>
        <w:rPr>
          <w:rFonts w:hint="eastAsia" w:cs="黑体" w:asciiTheme="minorEastAsia" w:hAnsiTheme="minorEastAsia"/>
          <w:color w:val="000000"/>
          <w:kern w:val="0"/>
          <w:sz w:val="32"/>
          <w:szCs w:val="32"/>
        </w:rPr>
        <w:t>发现的主要问题及原因：一是绩效目标设置科学性有待提高。由于部分绩效指标设置不够全面，绩效指标设置的科学性、准确性有待提升；二是预算系统内绩效指标与实际项目支出绩效指标匹配性不足。下一步改进措施：一是多措并举，提高绩效管理水平；二是加强预算编制，加快资金执行效率；三是建立绩效管理制度，加强绩效运行监控。</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640" w:firstLineChars="200"/>
        <w:rPr>
          <w:sz w:val="32"/>
          <w:szCs w:val="32"/>
        </w:rPr>
      </w:pPr>
      <w:r>
        <w:rPr>
          <w:rFonts w:hint="eastAsia"/>
          <w:sz w:val="32"/>
          <w:szCs w:val="32"/>
        </w:rPr>
        <w:t>绩效管理工作开展顺利，部门决算中项目绩效自评结果为优秀，部门评价项目绩效评价结果为优秀，以部门为主体开展的重点绩效评价结果为优秀。</w:t>
      </w:r>
    </w:p>
    <w:p>
      <w:pPr>
        <w:autoSpaceDE w:val="0"/>
        <w:autoSpaceDN w:val="0"/>
        <w:adjustRightInd w:val="0"/>
        <w:ind w:firstLine="640" w:firstLineChars="200"/>
        <w:jc w:val="left"/>
        <w:rPr>
          <w:rFonts w:cs="黑体" w:asciiTheme="minorEastAsia" w:hAnsiTheme="minorEastAsia"/>
          <w:b/>
          <w:bCs/>
          <w:i/>
          <w:iCs/>
          <w:color w:val="FF0000"/>
          <w:kern w:val="0"/>
          <w:sz w:val="36"/>
          <w:szCs w:val="36"/>
        </w:rPr>
      </w:pPr>
      <w:r>
        <w:rPr>
          <w:rFonts w:hint="eastAsia"/>
          <w:sz w:val="32"/>
          <w:szCs w:val="32"/>
        </w:rPr>
        <w:t>预算绩效管理开展情况、绩效目标和绩效评价报告等，一并作为附件公开。</w:t>
      </w:r>
    </w:p>
    <w:p>
      <w:pPr>
        <w:pStyle w:val="9"/>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2、2021年度项目支出绩效评价自评报告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mOGNmZjAyMWUyZjNlYzBkMDdmZGZhMWVhZGNiMDQifQ=="/>
  </w:docVars>
  <w:rsids>
    <w:rsidRoot w:val="00172A27"/>
    <w:rsid w:val="00001612"/>
    <w:rsid w:val="0002229B"/>
    <w:rsid w:val="000273BD"/>
    <w:rsid w:val="00030324"/>
    <w:rsid w:val="000415B7"/>
    <w:rsid w:val="00041E3F"/>
    <w:rsid w:val="00055DAA"/>
    <w:rsid w:val="00061F7B"/>
    <w:rsid w:val="000658A3"/>
    <w:rsid w:val="00074155"/>
    <w:rsid w:val="000873EF"/>
    <w:rsid w:val="000A3F69"/>
    <w:rsid w:val="000C6D71"/>
    <w:rsid w:val="000E3F7E"/>
    <w:rsid w:val="00103957"/>
    <w:rsid w:val="001111AD"/>
    <w:rsid w:val="00124A1F"/>
    <w:rsid w:val="0013063E"/>
    <w:rsid w:val="00135E14"/>
    <w:rsid w:val="00152C6D"/>
    <w:rsid w:val="00162D39"/>
    <w:rsid w:val="001678BD"/>
    <w:rsid w:val="00172A27"/>
    <w:rsid w:val="00181A07"/>
    <w:rsid w:val="00182373"/>
    <w:rsid w:val="001A67DB"/>
    <w:rsid w:val="001C3C29"/>
    <w:rsid w:val="001D51E5"/>
    <w:rsid w:val="001E080D"/>
    <w:rsid w:val="001E53D0"/>
    <w:rsid w:val="001F0C3B"/>
    <w:rsid w:val="00202C14"/>
    <w:rsid w:val="00202C82"/>
    <w:rsid w:val="00214427"/>
    <w:rsid w:val="00226CB7"/>
    <w:rsid w:val="0024687A"/>
    <w:rsid w:val="00264552"/>
    <w:rsid w:val="00264EF9"/>
    <w:rsid w:val="00265724"/>
    <w:rsid w:val="002669AA"/>
    <w:rsid w:val="0027426B"/>
    <w:rsid w:val="002A1F15"/>
    <w:rsid w:val="002D7FE9"/>
    <w:rsid w:val="002E0A30"/>
    <w:rsid w:val="003130C4"/>
    <w:rsid w:val="00316C4B"/>
    <w:rsid w:val="0032192B"/>
    <w:rsid w:val="00332E8D"/>
    <w:rsid w:val="00344EC6"/>
    <w:rsid w:val="003479BD"/>
    <w:rsid w:val="003600F5"/>
    <w:rsid w:val="0037197D"/>
    <w:rsid w:val="003768D5"/>
    <w:rsid w:val="003B6F70"/>
    <w:rsid w:val="003C4197"/>
    <w:rsid w:val="003C47E6"/>
    <w:rsid w:val="003C4FC2"/>
    <w:rsid w:val="003C6FD5"/>
    <w:rsid w:val="003E2331"/>
    <w:rsid w:val="003F214E"/>
    <w:rsid w:val="00404D68"/>
    <w:rsid w:val="00416E61"/>
    <w:rsid w:val="0042790C"/>
    <w:rsid w:val="004506F9"/>
    <w:rsid w:val="00463D3A"/>
    <w:rsid w:val="004717A2"/>
    <w:rsid w:val="00473DF3"/>
    <w:rsid w:val="00487911"/>
    <w:rsid w:val="00491741"/>
    <w:rsid w:val="0049784D"/>
    <w:rsid w:val="004B0CEE"/>
    <w:rsid w:val="004C0BDF"/>
    <w:rsid w:val="00500E5F"/>
    <w:rsid w:val="005122EF"/>
    <w:rsid w:val="0051386C"/>
    <w:rsid w:val="0051441A"/>
    <w:rsid w:val="00517C33"/>
    <w:rsid w:val="00517D5F"/>
    <w:rsid w:val="00521AF2"/>
    <w:rsid w:val="0052231F"/>
    <w:rsid w:val="00523644"/>
    <w:rsid w:val="0054069E"/>
    <w:rsid w:val="00544866"/>
    <w:rsid w:val="0056231B"/>
    <w:rsid w:val="005767CC"/>
    <w:rsid w:val="00590D9F"/>
    <w:rsid w:val="00595D26"/>
    <w:rsid w:val="005A74E6"/>
    <w:rsid w:val="005B404E"/>
    <w:rsid w:val="005D4D55"/>
    <w:rsid w:val="005E2CFB"/>
    <w:rsid w:val="005F2103"/>
    <w:rsid w:val="005F3D1C"/>
    <w:rsid w:val="0062378F"/>
    <w:rsid w:val="00641842"/>
    <w:rsid w:val="0064755E"/>
    <w:rsid w:val="00651EEC"/>
    <w:rsid w:val="00686673"/>
    <w:rsid w:val="00691E8C"/>
    <w:rsid w:val="006A1BF9"/>
    <w:rsid w:val="006A22C4"/>
    <w:rsid w:val="006A348B"/>
    <w:rsid w:val="006A351B"/>
    <w:rsid w:val="006B0422"/>
    <w:rsid w:val="006B72D0"/>
    <w:rsid w:val="006C1B53"/>
    <w:rsid w:val="006C3103"/>
    <w:rsid w:val="006D4358"/>
    <w:rsid w:val="006D7730"/>
    <w:rsid w:val="006E2506"/>
    <w:rsid w:val="006E5284"/>
    <w:rsid w:val="006F3EB5"/>
    <w:rsid w:val="007029B0"/>
    <w:rsid w:val="00702E34"/>
    <w:rsid w:val="00704395"/>
    <w:rsid w:val="00710FE7"/>
    <w:rsid w:val="00717621"/>
    <w:rsid w:val="00720FF1"/>
    <w:rsid w:val="00727A53"/>
    <w:rsid w:val="00741422"/>
    <w:rsid w:val="00787B42"/>
    <w:rsid w:val="007C4539"/>
    <w:rsid w:val="007F3657"/>
    <w:rsid w:val="00811549"/>
    <w:rsid w:val="00812ED5"/>
    <w:rsid w:val="008277D9"/>
    <w:rsid w:val="00841385"/>
    <w:rsid w:val="00842E33"/>
    <w:rsid w:val="0084478A"/>
    <w:rsid w:val="0084478C"/>
    <w:rsid w:val="0086638C"/>
    <w:rsid w:val="008837F7"/>
    <w:rsid w:val="00893B39"/>
    <w:rsid w:val="008941B2"/>
    <w:rsid w:val="008A3E8D"/>
    <w:rsid w:val="009237C4"/>
    <w:rsid w:val="00934A2E"/>
    <w:rsid w:val="00943D5F"/>
    <w:rsid w:val="00944C48"/>
    <w:rsid w:val="00950252"/>
    <w:rsid w:val="00967F5D"/>
    <w:rsid w:val="00995015"/>
    <w:rsid w:val="009A0F95"/>
    <w:rsid w:val="009B3ADF"/>
    <w:rsid w:val="009C3B52"/>
    <w:rsid w:val="009E6817"/>
    <w:rsid w:val="009E6E9A"/>
    <w:rsid w:val="00A01D2B"/>
    <w:rsid w:val="00A42218"/>
    <w:rsid w:val="00A64FAC"/>
    <w:rsid w:val="00A70249"/>
    <w:rsid w:val="00A70B02"/>
    <w:rsid w:val="00A71D9F"/>
    <w:rsid w:val="00A85F71"/>
    <w:rsid w:val="00A92E9F"/>
    <w:rsid w:val="00AB7D35"/>
    <w:rsid w:val="00B03B44"/>
    <w:rsid w:val="00B33BEA"/>
    <w:rsid w:val="00B57C9F"/>
    <w:rsid w:val="00B63572"/>
    <w:rsid w:val="00B845B3"/>
    <w:rsid w:val="00B85D8B"/>
    <w:rsid w:val="00B867D4"/>
    <w:rsid w:val="00BB4A40"/>
    <w:rsid w:val="00BB4E0B"/>
    <w:rsid w:val="00BD6C3E"/>
    <w:rsid w:val="00BE3674"/>
    <w:rsid w:val="00C03221"/>
    <w:rsid w:val="00C10681"/>
    <w:rsid w:val="00C3049A"/>
    <w:rsid w:val="00C31B1E"/>
    <w:rsid w:val="00C77645"/>
    <w:rsid w:val="00C87F6F"/>
    <w:rsid w:val="00C90F97"/>
    <w:rsid w:val="00CA01A0"/>
    <w:rsid w:val="00CA4DB7"/>
    <w:rsid w:val="00CD64CF"/>
    <w:rsid w:val="00CE04C3"/>
    <w:rsid w:val="00CE76A0"/>
    <w:rsid w:val="00CF79E1"/>
    <w:rsid w:val="00D148C6"/>
    <w:rsid w:val="00D17A8A"/>
    <w:rsid w:val="00D415BA"/>
    <w:rsid w:val="00D555CE"/>
    <w:rsid w:val="00D63780"/>
    <w:rsid w:val="00D644EE"/>
    <w:rsid w:val="00D666F7"/>
    <w:rsid w:val="00D75489"/>
    <w:rsid w:val="00DD06FF"/>
    <w:rsid w:val="00DD5FE9"/>
    <w:rsid w:val="00DF0B17"/>
    <w:rsid w:val="00E00C7A"/>
    <w:rsid w:val="00E122BF"/>
    <w:rsid w:val="00E209CF"/>
    <w:rsid w:val="00E2564C"/>
    <w:rsid w:val="00E30DAC"/>
    <w:rsid w:val="00E37D6C"/>
    <w:rsid w:val="00E55B68"/>
    <w:rsid w:val="00E67BE6"/>
    <w:rsid w:val="00E8683C"/>
    <w:rsid w:val="00EA2B72"/>
    <w:rsid w:val="00F01330"/>
    <w:rsid w:val="00F74360"/>
    <w:rsid w:val="00FA1A29"/>
    <w:rsid w:val="00FA3732"/>
    <w:rsid w:val="00FB462F"/>
    <w:rsid w:val="00FC37C0"/>
    <w:rsid w:val="00FC61DE"/>
    <w:rsid w:val="00FD3A09"/>
    <w:rsid w:val="00FE16FA"/>
    <w:rsid w:val="00FE328A"/>
    <w:rsid w:val="00FE6269"/>
    <w:rsid w:val="00FF5CD6"/>
    <w:rsid w:val="022655F4"/>
    <w:rsid w:val="03AF786B"/>
    <w:rsid w:val="03DB5740"/>
    <w:rsid w:val="05633A58"/>
    <w:rsid w:val="064E5119"/>
    <w:rsid w:val="06B411F0"/>
    <w:rsid w:val="087403E0"/>
    <w:rsid w:val="092B4153"/>
    <w:rsid w:val="09BC4A90"/>
    <w:rsid w:val="0BE56081"/>
    <w:rsid w:val="0ED308B1"/>
    <w:rsid w:val="10073D07"/>
    <w:rsid w:val="10ED552F"/>
    <w:rsid w:val="1167483F"/>
    <w:rsid w:val="11DF0EAB"/>
    <w:rsid w:val="13BC5DB8"/>
    <w:rsid w:val="13BE003E"/>
    <w:rsid w:val="144813FA"/>
    <w:rsid w:val="16E96798"/>
    <w:rsid w:val="17A87124"/>
    <w:rsid w:val="1C7A05BE"/>
    <w:rsid w:val="21D4251F"/>
    <w:rsid w:val="256736AA"/>
    <w:rsid w:val="25EF3DCB"/>
    <w:rsid w:val="26F176CF"/>
    <w:rsid w:val="27DB542D"/>
    <w:rsid w:val="28B22E8E"/>
    <w:rsid w:val="29BB5D72"/>
    <w:rsid w:val="2B4F70BA"/>
    <w:rsid w:val="2CF95E23"/>
    <w:rsid w:val="34677222"/>
    <w:rsid w:val="366364DD"/>
    <w:rsid w:val="370B6762"/>
    <w:rsid w:val="3AB042CB"/>
    <w:rsid w:val="3B842468"/>
    <w:rsid w:val="3E4F1453"/>
    <w:rsid w:val="422B5D33"/>
    <w:rsid w:val="45F9639D"/>
    <w:rsid w:val="465B295F"/>
    <w:rsid w:val="4729480B"/>
    <w:rsid w:val="475950F1"/>
    <w:rsid w:val="48ED43E7"/>
    <w:rsid w:val="4BCE14DD"/>
    <w:rsid w:val="4CC0176E"/>
    <w:rsid w:val="4E7B76FB"/>
    <w:rsid w:val="54D1518C"/>
    <w:rsid w:val="559317CE"/>
    <w:rsid w:val="57D83E10"/>
    <w:rsid w:val="57DB28FB"/>
    <w:rsid w:val="580E15DF"/>
    <w:rsid w:val="5B887D0B"/>
    <w:rsid w:val="5FF4555F"/>
    <w:rsid w:val="60A907EA"/>
    <w:rsid w:val="60F872D1"/>
    <w:rsid w:val="6145544E"/>
    <w:rsid w:val="632C14B3"/>
    <w:rsid w:val="65E46E4F"/>
    <w:rsid w:val="68A11FFC"/>
    <w:rsid w:val="696C085C"/>
    <w:rsid w:val="698711F2"/>
    <w:rsid w:val="72056156"/>
    <w:rsid w:val="74AF784E"/>
    <w:rsid w:val="75B539B6"/>
    <w:rsid w:val="7720567C"/>
    <w:rsid w:val="777728A5"/>
    <w:rsid w:val="78564BB1"/>
    <w:rsid w:val="788A485A"/>
    <w:rsid w:val="791F70CB"/>
    <w:rsid w:val="79975481"/>
    <w:rsid w:val="7B353639"/>
    <w:rsid w:val="7B784E3E"/>
    <w:rsid w:val="7D761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18CB-1D99-471F-AAD9-711B20BBFCF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839</Words>
  <Characters>4784</Characters>
  <Lines>39</Lines>
  <Paragraphs>11</Paragraphs>
  <TotalTime>33</TotalTime>
  <ScaleCrop>false</ScaleCrop>
  <LinksUpToDate>false</LinksUpToDate>
  <CharactersWithSpaces>5612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2022-09-21T03:09:00Z</dcterms:created>
  <dc:creator>李航 null</dc:creator>
  <cp:lastModifiedBy>Ys</cp:lastModifiedBy>
  <cp:lastPrinted>2022-07-27T12:55:00Z</cp:lastPrinted>
  <dcterms:modified xsi:type="dcterms:W3CDTF">2023-09-26T08:05:18Z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9EAB5F03F8F54551A63549A1064F4043_13</vt:lpwstr>
  </property>
</Properties>
</file>