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小标宋_GBK" w:hAnsi="宋体" w:eastAsia="方正小标宋_GBK" w:cs="宋体"/>
                <w:color w:val="auto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auto"/>
                <w:kern w:val="0"/>
                <w:sz w:val="40"/>
                <w:szCs w:val="40"/>
              </w:rPr>
              <w:t>岳阳市第一中学2022年度单位预算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6"/>
                <w:szCs w:val="36"/>
              </w:rPr>
              <w:t>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第一部分  2022年单位预算说明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第二部分  2022年单位预算公开表格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1、收支总表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2、收入总表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3、支出总表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4、支出预算分类汇总表（按政府预算经济分类）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5、支出预算分类汇总表（按部门预算经济分类）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6、财政拨款收支总表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7、一般公共预算支出表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12、一般公共预算基本支出表-公用经费（商品和服务支出）（按政府预算经济分类）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13、一般公共预算基本支出表-公用经费（商品和服务支出）（按部门预算经济分类）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14、一般公共预算“三公”经费支出表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15、政府性基金预算支出表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16、政府性基金预算支出分类汇总表（按政府预算经济分类）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17、政府性基金预算支出分类汇总表（按部门预算经济分类）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18、国有资本经营预算支出表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19、财政专户管理资金预算支出表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20、专项资金预算汇总表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21、项目支出绩效目标表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22、整体支出绩效目标表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23、一般公共预算基本支出表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6"/>
                <w:szCs w:val="36"/>
              </w:rPr>
              <w:t>第一部分  2022年单位预算说明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2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一、单位基本概况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（一）职能职责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1、负责贯彻执行《教育法》、《教师法》等法规政策；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2、负责在校学生的文化科学知识、思想品德、体育、美育及劳动技能教育；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3、负责学校教师的政治思想教育和业务培训；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4、负责在校师生的安全保卫及后勤服务；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5、完成省委、省政府及市委、市政府交办的民族教育任务；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6、完成市教育局交办的其他工作。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（二）机构设置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根据上述主要工作职责，我校设置了6个职能处室：办公室、教务处、政教处、教研室、西藏部、总务处。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2" w:firstLineChars="200"/>
              <w:jc w:val="left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二、单位预算单位构成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本单位预算仅含本级预算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2" w:firstLineChars="200"/>
              <w:jc w:val="left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三、单位收支总体情况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（一）收入预算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本单位预算收入包括一般公共预算收入及事业收入等单位资金。2022年本单位收入预算5149.96万元，其中，一般公共预算拨款4624.96万元，政府性基金预算拨款0万元，所以公开的附件15-17（政府性基金预算）为空,国有资本经营预算拨款0万元，所以公开的附表18（国有资本经营预算）为空,财政专户管理资金525.00万元，上级补助收入0万元，事业单位经营收入0万元，上年结转0万元。数据来源见表2。本单位2022年没有政府性基金预算拨款和国有资本经营预算拨款，也没有使用政府性基金预算拨款、国有资本经营预算拨款安排的相关支出，所以公开的附件15-17（政府性基金预算）、18（国有资本经营预算）均为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收入较去年增加1344.30万元，主要是因为今年预算增加了工会经费补贴、伙食补助、物业服务补贴、综合绩效奖和平安岳阳建设奖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（二）支出预算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2022年本单位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  <w:t>支出预算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5149.96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  <w:t>万元，其中，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教育支出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5149.96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  <w:t>万元，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占比100.00%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含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高中教育支出5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  <w:t>090.96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万元，其他教育费附加安排的支出5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  <w:t>9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万元。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支出较去年增加1344.30万元，其中基本支出增加535.30万元，项目支出增加809.00万元。其中基本支出较上年增加主要是因为今年预算方式改变，纳入专户管理的资金525.00万元计入基本支出，上年度纳入专户管理的资金550.00万元计入项目支出。项目支出增加809.00万元，主要是因为今年预算增加了工会经费补贴、伙食补助、物业服务补贴、综合绩效奖和平安岳阳建设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2022年预算公开文档第三大点（对应表3）、第四大点（对应表7）中的金额和百分比，由于预算编制时金额明细到了“分”，而公开表格显示和公开文档取数只到“百元”，可能导致0.01的尾数差异。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2" w:firstLineChars="2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四、一般公共预算拨款支出预算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2022年一般公共预算拨款支出预算4624.96万元，其中，教育支出4624.96万元，占比100.00%。具体安排情况如下：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（一）基本支出：2022年基本支出年初预算数为3119.66万元（数据来源见表7）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（二）项目支出：2022年项目支出年初预算数为1505.30万元，是指单位为完成特定行政工作任务或事业发展目标而发生的支出，包括有关业务工作经费、运行维护经费等。其中：工会经费补贴135.00万元，主要用于教职工及离退休人员节日慰问以及活动安排等方面；伙食补助180.00万元，主要用于教职工及离退休人员食堂就餐补助；民族教育公用经费50.00万元，主要用于西藏班的日常经费开支；物业服务补贴162.00万元，主要用于“三供一业”改造教职工及离退休人员补助；西藏班专款69.30万元，主要用于西藏班教育教学开支；专职保安费9.00万元，主要用于学校保安开支；综合绩效奖和平安建设奖900万元，主要用于教职工及离退休人员年终绩效考核奖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2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五、政府性基金预算支出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2022年度本单位无政府性基金安排的支出，所以公开的附件15-17（政府性基金预算）为空。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2" w:firstLineChars="200"/>
              <w:jc w:val="left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六、其他重要事项的情况说明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（一）机关运行经费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ind w:firstLine="560" w:firstLineChars="200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本单位2022年机关运行经费当年一般公共预算拨款73.10万元，比上一年增加1.43万元，增加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2.0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  <w:t>%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。主要是因为本年度工资增加，导致工会经费和福利费增加。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（二）“三公”经费预算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本单位2022年“三公”经费预算数0万元，其中，公务接待费0万元，因公出国（境）费0万元，公务用车购置及运行费0万元，其中公务用车购置费0万元，公务用车运行费0万元。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比上一年减少47.70万元，降低100%，主要原因是贯彻市委市政府“过紧日子”政策，财政未安排事业单位“三公”经费预算。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（三）一般性支出情况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本单位2022年会议费预算0万元，拟召开0次会议，人数0人；培训费预算0万元，拟开展0次培训，人数0人；计划举办节庆、晚会、论坛、赛事活动0万元。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2022年度本单位未计划举办节庆、晚会、论坛、赛事活动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（四）政府采购情况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本单位2022年政府采购预算总额0万元，其中工程类0万元，货物类0万元，服务类0万元。2022年度本单位未安排政府采购预算，由教体局统一申报。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（五）国有资产占有使用及新增资产配置情况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截至上一年12月底，本单位共有车辆0辆，其中领导干部用车0辆，一般公务用车0辆，其他用车0辆。单位价值50万元以上通用设备0台，单位价值100万元以上专用设备0台。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2022年拟报废处置公务用车0辆，拟新增配置车辆0辆，其中领导干部用车0辆，一般公务用车0辆，其他用车0辆。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2022年拟新增配备单位价值50万元以上通用设备0台，单位价值100万元以上专用设备0台。2022年度本单位未计划处置或新增车辆、设备等。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（六）预算绩效目标说明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本单位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  <w:t>所有支出实行绩效目标管理。纳入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2022年单位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  <w:t>整体支出绩效目标的金额为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5149.96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  <w:t>万元，其中，基本支出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3644.66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  <w:t>万元，项目支出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1505.30.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  <w:t>万元，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详见文尾附表中单位预算公开表格的表21-22。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2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七、名词解释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6"/>
                <w:szCs w:val="36"/>
              </w:rPr>
              <w:t>第二部分  2022年单位预算公开表格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1、收支总表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2、收入总表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3、支出总表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4、支出预算分类汇总表（按政府预算经济分类）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5、支出预算分类汇总表（按部门预算经济分类）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6、财政拨款收支总表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7、一般公共预算支出表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12、一般公共预算基本支出表-公用经费（商品和服务支出）（按政府预算经济分类）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13、一般公共预算基本支出表-公用经费（商品和服务支出）（按部门预算经济分类）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14、一般公共预算“三公”经费支出表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15、政府性基金预算支出表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16、政府性基金预算支出分类汇总表（按政府预算经济分类）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17、政府性基金预算支出分类汇总表（按部门预算经济分类）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18、国有资本经营预算支出表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19、财政专户管理资金预算支出表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20、专项资金预算汇总表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21、项目支出绩效目标表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22、整体支出绩效目标表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23、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一般公共预算基本支出表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4MmQzMzY3MWU0ZjkwNjE0ZTcwMzYzOGVmOWE5YTYifQ=="/>
  </w:docVars>
  <w:rsids>
    <w:rsidRoot w:val="000D72B2"/>
    <w:rsid w:val="000D72B2"/>
    <w:rsid w:val="0033031A"/>
    <w:rsid w:val="004E4F0E"/>
    <w:rsid w:val="006B15BE"/>
    <w:rsid w:val="00950E59"/>
    <w:rsid w:val="00B518DB"/>
    <w:rsid w:val="00B94DBD"/>
    <w:rsid w:val="00C55A19"/>
    <w:rsid w:val="0D216411"/>
    <w:rsid w:val="155B0B21"/>
    <w:rsid w:val="3AE600DE"/>
    <w:rsid w:val="3F6E5945"/>
    <w:rsid w:val="532572FB"/>
    <w:rsid w:val="6C133AE8"/>
    <w:rsid w:val="6CAF37CE"/>
    <w:rsid w:val="6F507179"/>
    <w:rsid w:val="7D74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3439</Words>
  <Characters>3737</Characters>
  <Lines>26</Lines>
  <Paragraphs>7</Paragraphs>
  <TotalTime>1</TotalTime>
  <ScaleCrop>false</ScaleCrop>
  <LinksUpToDate>false</LinksUpToDate>
  <CharactersWithSpaces>3745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2023-06-05T01:18:00Z</dcterms:created>
  <dc:creator>微软用户</dc:creator>
  <cp:lastModifiedBy>彬彬华圣酒店海外购</cp:lastModifiedBy>
  <dcterms:modified xsi:type="dcterms:W3CDTF">2023-09-23T08:01:01Z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ADA73AB5B2D84EA9A92FC99052E091BB</vt:lpwstr>
  </property>
  <property fmtid="{D5CDD505-2E9C-101B-9397-08002B2CF9AE}" pid="3" name="KSOProductBuildVer">
    <vt:lpwstr>2052-11.1.0.15319</vt:lpwstr>
  </property>
</Properties>
</file>