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eastAsia="黑体"/>
          <w:sz w:val="56"/>
          <w:szCs w:val="56"/>
          <w:lang w:eastAsia="zh-CN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2021年度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岳阳市体育馆</w:t>
      </w:r>
      <w:r>
        <w:rPr>
          <w:rFonts w:hint="eastAsia"/>
          <w:sz w:val="84"/>
          <w:szCs w:val="84"/>
        </w:rPr>
        <w:t>部门决算</w:t>
      </w: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jc w:val="center"/>
        <w:rPr>
          <w:sz w:val="32"/>
          <w:szCs w:val="32"/>
        </w:rPr>
      </w:pPr>
    </w:p>
    <w:p>
      <w:pPr>
        <w:pStyle w:val="10"/>
        <w:spacing w:line="540" w:lineRule="exact"/>
        <w:jc w:val="center"/>
        <w:rPr>
          <w:sz w:val="56"/>
          <w:szCs w:val="56"/>
        </w:rPr>
      </w:pPr>
    </w:p>
    <w:p>
      <w:pPr>
        <w:pStyle w:val="10"/>
        <w:spacing w:line="500" w:lineRule="exact"/>
        <w:jc w:val="center"/>
        <w:rPr>
          <w:b/>
          <w:sz w:val="36"/>
          <w:szCs w:val="28"/>
        </w:rPr>
      </w:pPr>
    </w:p>
    <w:p>
      <w:pPr>
        <w:pStyle w:val="10"/>
        <w:spacing w:line="500" w:lineRule="exact"/>
        <w:jc w:val="center"/>
        <w:rPr>
          <w:b/>
          <w:sz w:val="36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岳阳市体育馆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及决算单位构成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明细</w:t>
      </w:r>
      <w:r>
        <w:rPr>
          <w:rFonts w:cs="仿宋_GB2312" w:asciiTheme="minorEastAsia" w:hAnsiTheme="minorEastAsia" w:eastAsiaTheme="minorEastAsia"/>
          <w:sz w:val="28"/>
          <w:szCs w:val="28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int="eastAsia" w:hAnsi="仿宋_GB2312"/>
          <w:b/>
          <w:sz w:val="28"/>
          <w:szCs w:val="28"/>
          <w:lang w:val="en-US" w:eastAsia="zh-CN"/>
        </w:rPr>
        <w:t xml:space="preserve">  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21年度部门决算情况说明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“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三公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cs="仿宋_GB2312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国有资本经营预算财政拨款支出决算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政府采购支出说明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十三、国有资产占用情况说明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</w:pPr>
      <w:r>
        <w:rPr>
          <w:rFonts w:hint="eastAsia" w:ascii="仿宋_GB2312" w:hAnsi="仿宋_GB2312" w:cs="仿宋_GB2312" w:eastAsiaTheme="minorEastAsia"/>
          <w:sz w:val="28"/>
          <w:szCs w:val="28"/>
          <w:lang w:eastAsia="zh-CN"/>
        </w:rPr>
        <w:t>十四、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2021年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岳阳市体育馆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主要职能分四个方面：一是维护和管理场馆设施，落实《全民健身计划纲要》，为群众性体育健身和竞赛活动以及有关大型社会活动提供场地服务；二是负责承办各类体育比赛，开展全民健身体育活动和体育培训；三是负责青少年运动员的选拔和业余训练；四是开展经营创收，搞好体育产业开发，增强自我发展能力。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机构设置及决算单位构成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1、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机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构设置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本单位2021年在编人员为22人，年未实有人数22人。共设有三部一室，为业务部、行管部、培训部及办公室。</w:t>
      </w:r>
    </w:p>
    <w:p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2、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决算单位构成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岳阳市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体育馆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年部门决算汇总公开单位构成为：</w:t>
      </w:r>
      <w:r>
        <w:rPr>
          <w:rFonts w:asciiTheme="minorEastAsia" w:hAnsiTheme="minorEastAsia"/>
          <w:bCs/>
          <w:kern w:val="0"/>
          <w:sz w:val="32"/>
          <w:szCs w:val="32"/>
        </w:rPr>
        <w:t>本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单位</w:t>
      </w:r>
      <w:r>
        <w:rPr>
          <w:rFonts w:asciiTheme="minorEastAsia" w:hAnsiTheme="minorEastAsia"/>
          <w:bCs/>
          <w:kern w:val="0"/>
          <w:sz w:val="32"/>
          <w:szCs w:val="32"/>
        </w:rPr>
        <w:t>20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2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年部门决算本级。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（见附件）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0"/>
        <w:jc w:val="center"/>
        <w:rPr>
          <w:sz w:val="70"/>
          <w:szCs w:val="70"/>
        </w:rPr>
      </w:pPr>
    </w:p>
    <w:p>
      <w:pPr>
        <w:pStyle w:val="10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21年度部门决算情况说明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516.49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万元。与上年相比，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58.02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支出减少。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b w:val="0"/>
          <w:bCs w:val="0"/>
          <w:i/>
          <w:iCs/>
          <w:sz w:val="36"/>
          <w:szCs w:val="36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310.98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310.98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474.77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262.17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55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212.6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2021年度财政拨款收、支总计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516.49</w:t>
      </w:r>
      <w:r>
        <w:rPr>
          <w:rFonts w:hint="eastAsia" w:asciiTheme="minorEastAsia" w:hAnsiTheme="minorEastAsia" w:eastAsiaTheme="minorEastAsia"/>
          <w:sz w:val="32"/>
          <w:szCs w:val="32"/>
        </w:rPr>
        <w:t>万元，与上年相比，减少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58.02</w:t>
      </w:r>
      <w:r>
        <w:rPr>
          <w:rFonts w:hint="eastAsia" w:asciiTheme="minorEastAsia" w:hAnsiTheme="minorEastAsia" w:eastAsiaTheme="minorEastAsia"/>
          <w:sz w:val="32"/>
          <w:szCs w:val="32"/>
        </w:rPr>
        <w:t>万元,减少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支出减少。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447.9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%，与上年相比，财政拨款支出增加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207.8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人员费用增加。</w:t>
      </w:r>
    </w:p>
    <w:p>
      <w:pPr>
        <w:pStyle w:val="10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0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447.9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415.44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92.7</w:t>
      </w:r>
      <w:r>
        <w:rPr>
          <w:rFonts w:hint="eastAsia" w:asciiTheme="minorEastAsia" w:hAnsiTheme="minorEastAsia" w:eastAsiaTheme="minorEastAsia"/>
          <w:sz w:val="32"/>
          <w:szCs w:val="32"/>
        </w:rPr>
        <w:t>%；教育支出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</w:t>
      </w:r>
      <w:r>
        <w:rPr>
          <w:rFonts w:hint="eastAsia" w:asciiTheme="minorEastAsia" w:hAnsiTheme="minorEastAsia" w:eastAsiaTheme="minorEastAsia"/>
          <w:sz w:val="32"/>
          <w:szCs w:val="32"/>
        </w:rPr>
        <w:t>%;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22.57万，占5%；卫生健康支出9.57万元，占2%.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0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214.05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447.9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209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60" w:lineRule="exact"/>
        <w:ind w:firstLine="640" w:firstLineChars="200"/>
        <w:rPr>
          <w:rFonts w:hint="eastAsia" w:ascii="宋体" w:hAnsi="Calibri" w:eastAsia="宋体"/>
          <w:sz w:val="32"/>
          <w:szCs w:val="24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）体育（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）一般行政管理事务（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。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0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45.52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</w:t>
      </w:r>
      <w:r>
        <w:rPr>
          <w:rFonts w:hint="eastAsia" w:ascii="宋体" w:hAnsi="Calibri" w:eastAsia="宋体"/>
          <w:sz w:val="32"/>
          <w:szCs w:val="24"/>
          <w:shd w:val="clear" w:color="auto" w:fill="auto"/>
          <w:lang w:eastAsia="zh-CN"/>
        </w:rPr>
        <w:t>由于预算数为</w:t>
      </w:r>
      <w:r>
        <w:rPr>
          <w:rFonts w:hint="eastAsia" w:ascii="宋体" w:hAnsi="Calibri" w:eastAsia="宋体"/>
          <w:sz w:val="32"/>
          <w:szCs w:val="24"/>
          <w:shd w:val="clear" w:color="auto" w:fill="auto"/>
          <w:lang w:val="en-US" w:eastAsia="zh-CN"/>
        </w:rPr>
        <w:t>0，无法计算百分比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，</w:t>
      </w:r>
      <w:r>
        <w:rPr>
          <w:rFonts w:hint="eastAsia" w:ascii="宋体" w:hAnsi="Calibri" w:eastAsia="宋体"/>
          <w:sz w:val="32"/>
          <w:szCs w:val="24"/>
        </w:rPr>
        <w:t>决算数大于预算数的主要原因是追加安排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项目</w:t>
      </w:r>
      <w:r>
        <w:rPr>
          <w:rFonts w:hint="eastAsia" w:ascii="宋体" w:hAnsi="Calibri" w:eastAsia="宋体"/>
          <w:sz w:val="32"/>
          <w:szCs w:val="24"/>
        </w:rPr>
        <w:t>经费。</w:t>
      </w:r>
    </w:p>
    <w:p>
      <w:pPr>
        <w:pStyle w:val="10"/>
        <w:numPr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文化旅游体育与传媒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）体育（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）体育场馆（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）。</w:t>
      </w:r>
    </w:p>
    <w:p>
      <w:pPr>
        <w:pStyle w:val="10"/>
        <w:numPr>
          <w:numId w:val="0"/>
        </w:numPr>
        <w:ind w:firstLine="320" w:firstLineChars="1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163.92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369.92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,完成预算的225.67%，</w:t>
      </w:r>
      <w:r>
        <w:rPr>
          <w:rFonts w:hint="eastAsia" w:ascii="宋体" w:hAnsi="Calibri" w:eastAsia="宋体"/>
          <w:sz w:val="32"/>
          <w:szCs w:val="24"/>
        </w:rPr>
        <w:t>决算数大于预算数的</w:t>
      </w:r>
      <w:r>
        <w:rPr>
          <w:rFonts w:hint="eastAsia" w:asciiTheme="minorEastAsia" w:hAnsiTheme="minorEastAsia" w:eastAsiaTheme="minorEastAsia"/>
          <w:sz w:val="32"/>
          <w:szCs w:val="32"/>
        </w:rPr>
        <w:t>主要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原因</w:t>
      </w:r>
      <w:r>
        <w:rPr>
          <w:rFonts w:hint="eastAsia" w:asciiTheme="minorEastAsia" w:hAnsiTheme="minorEastAsia" w:eastAsiaTheme="minorEastAsia"/>
          <w:sz w:val="32"/>
          <w:szCs w:val="32"/>
        </w:rPr>
        <w:t>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追加安排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经费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教育支出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教</w:t>
      </w:r>
      <w:r>
        <w:rPr>
          <w:rFonts w:hint="eastAsia" w:asciiTheme="minorEastAsia" w:hAnsiTheme="minorEastAsia" w:eastAsiaTheme="minorEastAsia"/>
          <w:sz w:val="32"/>
          <w:szCs w:val="32"/>
        </w:rPr>
        <w:t>育费附加安排的支出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）其他教育费附加安排的支出。</w:t>
      </w:r>
    </w:p>
    <w:p>
      <w:pPr>
        <w:pStyle w:val="10"/>
        <w:numPr>
          <w:numId w:val="0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,</w:t>
      </w:r>
      <w:r>
        <w:rPr>
          <w:rFonts w:hint="eastAsia" w:ascii="宋体" w:hAnsi="Calibri" w:eastAsia="宋体"/>
          <w:sz w:val="32"/>
          <w:szCs w:val="24"/>
          <w:shd w:val="clear" w:color="auto" w:fill="auto"/>
          <w:lang w:eastAsia="zh-CN"/>
        </w:rPr>
        <w:t>由于预算数为</w:t>
      </w:r>
      <w:r>
        <w:rPr>
          <w:rFonts w:hint="eastAsia" w:ascii="宋体" w:hAnsi="Calibri" w:eastAsia="宋体"/>
          <w:sz w:val="32"/>
          <w:szCs w:val="24"/>
          <w:shd w:val="clear" w:color="auto" w:fill="auto"/>
          <w:lang w:val="en-US" w:eastAsia="zh-CN"/>
        </w:rPr>
        <w:t>0，无法计算百分比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，</w:t>
      </w:r>
      <w:r>
        <w:rPr>
          <w:rFonts w:hint="eastAsia" w:ascii="宋体" w:hAnsi="Calibri" w:eastAsia="宋体"/>
          <w:sz w:val="32"/>
          <w:szCs w:val="24"/>
        </w:rPr>
        <w:t>决算数大于预算数的主要原因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追加安排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经费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）行政事业单位养老支出（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）机关事业单位基本养老保险缴费支出（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）。</w:t>
      </w:r>
    </w:p>
    <w:p>
      <w:pPr>
        <w:pStyle w:val="10"/>
        <w:numPr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23.83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20.43万，完成预算的85.73%，</w:t>
      </w:r>
      <w:r>
        <w:rPr>
          <w:rFonts w:hint="eastAsia" w:ascii="宋体" w:hAnsi="Calibri" w:eastAsia="宋体"/>
          <w:sz w:val="32"/>
          <w:szCs w:val="24"/>
        </w:rPr>
        <w:t>决算数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小</w:t>
      </w:r>
      <w:r>
        <w:rPr>
          <w:rFonts w:hint="eastAsia" w:ascii="宋体" w:hAnsi="Calibri" w:eastAsia="宋体"/>
          <w:sz w:val="32"/>
          <w:szCs w:val="24"/>
        </w:rPr>
        <w:t>于预算数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32"/>
          <w:szCs w:val="32"/>
        </w:rPr>
        <w:t>主要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原因是</w:t>
      </w:r>
      <w:r>
        <w:rPr>
          <w:rFonts w:hint="eastAsia" w:asciiTheme="minorEastAsia" w:hAnsiTheme="minorEastAsia" w:eastAsiaTheme="minorEastAsia"/>
          <w:sz w:val="32"/>
          <w:szCs w:val="32"/>
        </w:rPr>
        <w:t>因为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人员费用减少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；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）残疾人事业（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）其他残疾人事业支出（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60" w:lineRule="exact"/>
        <w:ind w:left="640"/>
        <w:rPr>
          <w:rFonts w:hint="eastAsia" w:ascii="宋体" w:hAnsi="Calibri" w:eastAsia="宋体"/>
          <w:sz w:val="32"/>
          <w:szCs w:val="24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2.14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2.14万，</w:t>
      </w:r>
      <w:r>
        <w:rPr>
          <w:rFonts w:hint="eastAsia" w:ascii="宋体" w:hAnsi="宋体" w:eastAsia="宋体"/>
          <w:sz w:val="32"/>
          <w:szCs w:val="24"/>
        </w:rPr>
        <w:t>完成年初预算的100%，</w:t>
      </w:r>
      <w:r>
        <w:rPr>
          <w:rFonts w:hint="eastAsia" w:ascii="宋体" w:hAnsi="Calibri" w:eastAsia="宋体"/>
          <w:sz w:val="32"/>
          <w:szCs w:val="24"/>
        </w:rPr>
        <w:t>决算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56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Calibri" w:eastAsia="宋体"/>
          <w:sz w:val="32"/>
          <w:szCs w:val="24"/>
        </w:rPr>
        <w:t>数与预算数一致无差异。</w:t>
      </w:r>
    </w:p>
    <w:p>
      <w:pPr>
        <w:pStyle w:val="10"/>
        <w:numPr>
          <w:ilvl w:val="0"/>
          <w:numId w:val="3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卫生健康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类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行政事业单位医疗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款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）事业单位医疗（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）。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</w:t>
      </w:r>
    </w:p>
    <w:p>
      <w:pPr>
        <w:pStyle w:val="10"/>
        <w:numPr>
          <w:numId w:val="0"/>
        </w:numPr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10.03</w:t>
      </w:r>
      <w:r>
        <w:rPr>
          <w:rFonts w:hint="eastAsia" w:asciiTheme="minorEastAsia" w:hAnsiTheme="minorEastAsia" w:eastAsiaTheme="minorEastAsia"/>
          <w:sz w:val="32"/>
          <w:szCs w:val="32"/>
        </w:rPr>
        <w:t>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，支出</w:t>
      </w:r>
      <w:r>
        <w:rPr>
          <w:rFonts w:hint="eastAsia" w:asciiTheme="minorEastAsia" w:hAnsiTheme="minorEastAsia" w:eastAsiaTheme="minorEastAsia"/>
          <w:sz w:val="32"/>
          <w:szCs w:val="32"/>
        </w:rPr>
        <w:t>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9.57万元，</w:t>
      </w:r>
      <w:r>
        <w:rPr>
          <w:rFonts w:hint="eastAsia" w:ascii="宋体" w:hAnsi="宋体" w:eastAsia="宋体"/>
          <w:sz w:val="32"/>
          <w:szCs w:val="24"/>
        </w:rPr>
        <w:t>完成年初预算的</w:t>
      </w:r>
      <w:r>
        <w:rPr>
          <w:rFonts w:hint="eastAsia" w:ascii="宋体" w:hAnsi="宋体" w:eastAsia="宋体"/>
          <w:sz w:val="32"/>
          <w:szCs w:val="24"/>
          <w:lang w:val="en-US" w:eastAsia="zh-CN"/>
        </w:rPr>
        <w:t>95.41</w:t>
      </w:r>
      <w:r>
        <w:rPr>
          <w:rFonts w:hint="eastAsia" w:ascii="宋体" w:hAnsi="宋体" w:eastAsia="宋体"/>
          <w:sz w:val="32"/>
          <w:szCs w:val="24"/>
        </w:rPr>
        <w:t>%，</w:t>
      </w:r>
      <w:r>
        <w:rPr>
          <w:rFonts w:hint="eastAsia" w:ascii="宋体" w:hAnsi="Calibri" w:eastAsia="宋体"/>
          <w:sz w:val="32"/>
          <w:szCs w:val="24"/>
        </w:rPr>
        <w:t>决算数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小</w:t>
      </w:r>
      <w:r>
        <w:rPr>
          <w:rFonts w:hint="eastAsia" w:ascii="宋体" w:hAnsi="Calibri" w:eastAsia="宋体"/>
          <w:sz w:val="32"/>
          <w:szCs w:val="24"/>
        </w:rPr>
        <w:t>于预算数</w:t>
      </w:r>
      <w:r>
        <w:rPr>
          <w:rFonts w:hint="eastAsia" w:ascii="宋体" w:hAnsi="Calibri" w:eastAsia="宋体"/>
          <w:sz w:val="32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32"/>
          <w:szCs w:val="32"/>
        </w:rPr>
        <w:t>主要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人员费用减少。</w:t>
      </w:r>
    </w:p>
    <w:p>
      <w:pPr>
        <w:pStyle w:val="10"/>
        <w:ind w:firstLine="800" w:firstLineChars="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i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262.17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231.37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88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%,主要包括主要包括基本工资、津贴补贴、</w:t>
      </w:r>
      <w:r>
        <w:rPr>
          <w:rFonts w:hint="eastAsia" w:asciiTheme="minorEastAsia" w:hAnsiTheme="minorEastAsia" w:eastAsiaTheme="minorEastAsia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30.8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文物和陈列品购置、无形资产购置、其他资本性支出、赠与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七、一般公共预算财政拨款“三公”经费支出决算情况说明</w:t>
      </w:r>
    </w:p>
    <w:p>
      <w:pPr>
        <w:spacing w:before="0" w:after="0" w:line="240" w:lineRule="auto"/>
        <w:ind w:left="0" w:right="0" w:firstLine="32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  <w:t>（一）“三公”经费财政拨款支出决算总体情况说明</w:t>
      </w:r>
    </w:p>
    <w:p>
      <w:pPr>
        <w:spacing w:before="0" w:after="0" w:line="240" w:lineRule="auto"/>
        <w:ind w:left="0" w:right="0" w:firstLine="800"/>
        <w:jc w:val="left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因公出国（境）费支出预算为0万元，支出决算为0万元，由于预算数为0，无法计算百分比，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zh-CN" w:eastAsia="zh-CN" w:bidi="ar-SA"/>
        </w:rPr>
        <w:t>决算数与预算数一致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无差异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zh-CN" w:eastAsia="zh-CN" w:bidi="ar-SA"/>
        </w:rPr>
        <w:t>，主要原因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是本年未安排因公出国（境）；与上年相比无变化，主要原因是未安排外事出访活动。</w:t>
      </w:r>
    </w:p>
    <w:p>
      <w:pPr>
        <w:spacing w:before="0" w:after="0" w:line="240" w:lineRule="auto"/>
        <w:ind w:left="0" w:right="0" w:firstLine="800"/>
        <w:jc w:val="left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公务接待费支出预算为0万元，支出决算为0万元，由于预算数为0，无法计算百分比，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zh-CN" w:eastAsia="zh-CN" w:bidi="ar-SA"/>
        </w:rPr>
        <w:t>决算数与预算数一致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无差异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zh-CN" w:eastAsia="zh-CN" w:bidi="ar-SA"/>
        </w:rPr>
        <w:t>，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主要原因是单位厉行节约，严控公务接待，与上年相比无增减变化，主要原因是本年度公务接待在本单位食堂就餐。</w:t>
      </w:r>
    </w:p>
    <w:p>
      <w:pPr>
        <w:spacing w:before="0" w:after="0" w:line="240" w:lineRule="auto"/>
        <w:ind w:left="0" w:right="0" w:firstLine="800"/>
        <w:jc w:val="left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公务用车购置费支出预算为0万元，支出决算为0万元，由于预算数为0，无法计算完成百分比，决算数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zh-CN" w:eastAsia="zh-CN" w:bidi="ar-SA"/>
        </w:rPr>
        <w:t>与预算数一致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无差异，主要原因为本年未购置公务用车；与上年相比无变化，主要原因为两年均未购置公务用车。</w:t>
      </w:r>
    </w:p>
    <w:p>
      <w:pPr>
        <w:pStyle w:val="10"/>
        <w:ind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公务用车运行维护费支出预算为0万元，支出决算为0万元，决算数与预算数一致无差异，主要原因是单位无公务用车，与上年相比无增减变化，主要原因是单位无公务用车。</w:t>
      </w:r>
    </w:p>
    <w:p>
      <w:pPr>
        <w:spacing w:before="0" w:after="0" w:line="240" w:lineRule="auto"/>
        <w:ind w:left="0" w:right="0" w:firstLine="800"/>
        <w:jc w:val="left"/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b/>
          <w:color w:val="000000"/>
          <w:spacing w:val="0"/>
          <w:position w:val="0"/>
          <w:sz w:val="28"/>
          <w:szCs w:val="28"/>
          <w:shd w:val="clear" w:fill="auto"/>
        </w:rPr>
        <w:t>（二）“三公”经费财政拨款支出决算具体情况说明</w:t>
      </w:r>
    </w:p>
    <w:p>
      <w:pPr>
        <w:spacing w:before="0" w:after="0" w:line="240" w:lineRule="auto"/>
        <w:ind w:left="0" w:right="0" w:firstLine="80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2021年度“三公”经费财政拨款支出决算中，公务接待费支出决算0万元，占0%,因公出国（境）费支出决算0万元，占0%,公务用车购置费及运行维护费支出决算0万元，占0%。其中：</w:t>
      </w:r>
    </w:p>
    <w:p>
      <w:pPr>
        <w:spacing w:before="0" w:after="0" w:line="240" w:lineRule="auto"/>
        <w:ind w:left="0" w:right="0" w:firstLine="80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1、因公出国（境）费支出决算为0万元，全年安排因公出国（境）团组0个，累计0人次,开支内容包括：</w:t>
      </w:r>
    </w:p>
    <w:p>
      <w:pPr>
        <w:spacing w:before="0" w:after="0" w:line="240" w:lineRule="auto"/>
        <w:ind w:left="0" w:right="0" w:firstLine="80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无（活动名称）支出0万元，主要用于无（活动内容）</w:t>
      </w:r>
    </w:p>
    <w:p>
      <w:pPr>
        <w:spacing w:before="0" w:after="0" w:line="240" w:lineRule="auto"/>
        <w:ind w:left="0" w:right="0" w:firstLine="80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2、公务接待费支出决算为0万元，全年共接待来访团组0个、来宾0人次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主要是无（活动内容）发生的接待支出。</w:t>
      </w:r>
    </w:p>
    <w:p>
      <w:pPr>
        <w:spacing w:before="0" w:after="0" w:line="240" w:lineRule="auto"/>
        <w:ind w:left="0" w:right="0" w:firstLine="640"/>
        <w:jc w:val="left"/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8"/>
          <w:szCs w:val="28"/>
          <w:shd w:val="clear" w:fill="auto"/>
        </w:rPr>
        <w:t>3、公务用车购置费及运行维护费支出决算为0万元，其中：公务用车购置费0万元，0（单位本级或某二级机构）更新公务用车0辆（可根据实际情况进行增减）。公务用车运行维护费0万元，主要是无支出，截止2021年12月31日，我单位开支财政拨款的公务用车保有量为0辆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2021年度政府性基金预算财政拨款收入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万元；年初结转和结余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26.87</w:t>
      </w:r>
      <w:r>
        <w:rPr>
          <w:rFonts w:hint="eastAsia" w:asciiTheme="minorEastAsia" w:hAnsiTheme="minorEastAsia" w:eastAsiaTheme="minorEastAsia"/>
          <w:sz w:val="32"/>
          <w:szCs w:val="32"/>
        </w:rPr>
        <w:t>万元；支出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26.87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26.87</w:t>
      </w:r>
      <w:r>
        <w:rPr>
          <w:rFonts w:hint="eastAsia" w:asciiTheme="minorEastAsia" w:hAnsiTheme="minorEastAsia" w:eastAsiaTheme="minorEastAsia"/>
          <w:sz w:val="32"/>
          <w:szCs w:val="32"/>
        </w:rPr>
        <w:t>万元；年末结转和结余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万元。具体情况如下：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彩票公益金安排的支出，</w:t>
      </w: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26.87</w:t>
      </w:r>
      <w:r>
        <w:rPr>
          <w:rFonts w:hint="eastAsia" w:asciiTheme="minorEastAsia" w:hAnsiTheme="minorEastAsia" w:eastAsiaTheme="minorEastAsia"/>
          <w:sz w:val="32"/>
          <w:szCs w:val="32"/>
        </w:rPr>
        <w:t>万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，由于预算数为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0，无法计算百分比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numPr>
          <w:ilvl w:val="0"/>
          <w:numId w:val="4"/>
        </w:numPr>
        <w:rPr>
          <w:rFonts w:hint="eastAsia" w:hAnsi="黑体"/>
          <w:b/>
          <w:sz w:val="32"/>
          <w:szCs w:val="32"/>
          <w:lang w:eastAsia="zh-CN"/>
        </w:rPr>
      </w:pPr>
      <w:r>
        <w:rPr>
          <w:rFonts w:hint="eastAsia" w:hAnsi="黑体"/>
          <w:b/>
          <w:sz w:val="32"/>
          <w:szCs w:val="32"/>
        </w:rPr>
        <w:t>国有资本经营预算财政拨款支出决算</w:t>
      </w:r>
      <w:r>
        <w:rPr>
          <w:rFonts w:hint="eastAsia" w:hAnsi="黑体"/>
          <w:b/>
          <w:sz w:val="32"/>
          <w:szCs w:val="32"/>
          <w:lang w:eastAsia="zh-CN"/>
        </w:rPr>
        <w:t>情况</w:t>
      </w:r>
    </w:p>
    <w:p>
      <w:pPr>
        <w:pStyle w:val="10"/>
        <w:ind w:firstLine="640" w:firstLineChars="200"/>
        <w:rPr>
          <w:rFonts w:hint="eastAsia" w:hAnsi="黑体" w:eastAsiaTheme="minorEastAsia"/>
          <w:b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  <w:lang w:val="en-US" w:eastAsia="zh-CN"/>
        </w:rPr>
        <w:t>2021年度</w:t>
      </w: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</w:rPr>
        <w:t>本单位无国有资本经营预算财政拨款支出</w:t>
      </w:r>
      <w:r>
        <w:rPr>
          <w:rFonts w:hint="eastAsia" w:asciiTheme="minorEastAsia" w:hAnsiTheme="minorEastAsia" w:eastAsiaTheme="minorEastAsia"/>
          <w:i w:val="0"/>
          <w:iCs/>
          <w:color w:val="auto"/>
          <w:sz w:val="32"/>
          <w:szCs w:val="32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十、机关运行经费支出说明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万元，比上年决算数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无增减变化</w:t>
      </w:r>
      <w:r>
        <w:rPr>
          <w:rFonts w:hint="eastAsia" w:asciiTheme="minorEastAsia" w:hAnsiTheme="minorEastAsia" w:eastAsiaTheme="minorEastAsia"/>
          <w:sz w:val="32"/>
          <w:szCs w:val="32"/>
        </w:rPr>
        <w:t>。主要原因是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本单位非行政单位和参照公务员法管理事业单位。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十一、一般性支出情况说明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2021年本部门开支会议费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未召开会议，</w:t>
      </w:r>
      <w:r>
        <w:rPr>
          <w:rFonts w:hint="eastAsia" w:asciiTheme="minorEastAsia" w:hAnsiTheme="minorEastAsia" w:eastAsiaTheme="minorEastAsia"/>
          <w:sz w:val="32"/>
          <w:szCs w:val="32"/>
        </w:rPr>
        <w:t>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无会议内容</w:t>
      </w:r>
      <w:r>
        <w:rPr>
          <w:rFonts w:hint="eastAsia" w:asciiTheme="minorEastAsia" w:hAnsiTheme="minorEastAsia" w:eastAsiaTheme="minorEastAsia"/>
          <w:sz w:val="32"/>
          <w:szCs w:val="32"/>
        </w:rPr>
        <w:t>；开支培训费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</w:t>
      </w:r>
      <w:r>
        <w:rPr>
          <w:rFonts w:hint="eastAsia" w:asciiTheme="minorEastAsia" w:hAnsiTheme="minorEastAsia" w:eastAsiaTheme="minorEastAsia"/>
          <w:sz w:val="32"/>
          <w:szCs w:val="32"/>
        </w:rPr>
        <w:t>开展培训，人数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无培训</w:t>
      </w:r>
      <w:r>
        <w:rPr>
          <w:rFonts w:hint="eastAsia" w:asciiTheme="minorEastAsia" w:hAnsiTheme="minorEastAsia" w:eastAsiaTheme="minorEastAsia"/>
          <w:sz w:val="32"/>
          <w:szCs w:val="32"/>
        </w:rPr>
        <w:t>内容；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未</w:t>
      </w:r>
      <w:r>
        <w:rPr>
          <w:rFonts w:hint="eastAsia" w:asciiTheme="minorEastAsia" w:hAnsiTheme="minorEastAsia" w:eastAsiaTheme="minorEastAsia"/>
          <w:sz w:val="32"/>
          <w:szCs w:val="32"/>
        </w:rPr>
        <w:t>举办节庆、晚会、论坛、赛事活动，开支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十二、政府采购支出说明</w:t>
      </w:r>
    </w:p>
    <w:p>
      <w:pPr>
        <w:pStyle w:val="10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本部门2021年度政府采购支出总额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万元，占授予中小企业合同金额的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%；货物采购授予中小企业合同金额占货物支出金额的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%，工程采购授予中小企业合同金额占工程支出金额的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%，服务采购授予中小企业合同金额占服务支出金额的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十三、国有资产占用情况说明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截至2021年12月31日，部门（单位）共有车辆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辆，其他用车</w:t>
      </w:r>
      <w:r>
        <w:rPr>
          <w:rFonts w:hint="eastAsia" w:ascii="宋体" w:hAnsi="Times New Roman" w:eastAsia="宋体"/>
          <w:sz w:val="32"/>
        </w:rPr>
        <w:t>主要是用于机要通信和应急保障之外公务用途的车辆</w:t>
      </w:r>
      <w:r>
        <w:rPr>
          <w:rFonts w:hint="eastAsia" w:asciiTheme="minorEastAsia" w:hAnsiTheme="minorEastAsia" w:eastAsiaTheme="minorEastAsia"/>
          <w:sz w:val="32"/>
          <w:szCs w:val="32"/>
        </w:rPr>
        <w:t>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年度预算绩效情况的说明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（1）绩效管理评价工作开展情况。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根据预算绩效管理要求，我部门组织对2021年度政府性基金预算项目支出全面开展绩效自评，重点项目1个，涉及资金26.87万元，占政府性基金预算项目支出总额的100%。组织对2021 年度0个国有资本经营预算项目支出开展绩效自评，共涉及资金0万元，占国有资本经营预算项目支出总额的0%。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组织对“场馆维修经费”等1个项目开展了部门评价，涉及一政府性基金预算支出26.87万元，国有资本经营预算支出0万元。从评价情况来看, 进一步完善了评价体系,充分发挥绩效评价的杠杆作用，促进体育事业的均衡发展，力求使考核工作做到科学、合理，充分体现以人为本的核心理念。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组织对1个单位开展整体支出绩效评价，涉及一般公共预算支出447.9万元，政府性基金预算支出26.87万元。从评价情况来看，项目建设、设备添置全部纳入财政预算，我单位派人参与项目建设，完工后交付使用。改善了场馆运营条件，从申报、立项、设计、招（投）标、施工等程序规范，促进了场馆的均衡发展，资金使用达到了预期效果，有效地抑制了盲目投资和建设浪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（2）部门决算中项目绩效自评结果。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场馆维修经费项目绩效自评综述：根据年初设定的绩效目标，项目绩效自评得分为95.25分。项目全年预算数为26.87万元，执行数为26.87万元，完成预算的100%。项目绩效目标完成情况：一是无重大场馆安全责任事故；二是消除安全隐患，力争做安全无死角；三是确保场馆秩序良好，治安稳定。发现的主要问题及原因：一是绩效目标设置科学性有待提高。由于部分绩效指标设置不够全面，绩效指标设置的科学性、准确性有待提升；二是预算系统内绩效指标与实际项目支出绩效指标匹配性不足。下一步改进措施：一是多措并举，提高绩效管理水平；二是加强预算编制，加快资金执行效率；三是建立绩效管理制度，加强绩效运行监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（3）部门评价项目绩效评价结果。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绩效管理工作开展顺利，部门决算中项目绩效自评结果为良好，部门评价项目绩效评价结果为良好，以部门为主体开展的重点绩效评价结果为良好。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预算绩效管理开展情况、绩效目标和绩效评价报告等，一并作为附件公开。</w:t>
      </w: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10"/>
        <w:ind w:firstLine="640" w:firstLineChars="2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  </w:t>
      </w:r>
    </w:p>
    <w:p>
      <w:pPr>
        <w:pStyle w:val="10"/>
        <w:jc w:val="both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二、机关运行经费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三、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……</w:t>
      </w:r>
    </w:p>
    <w:p>
      <w:pPr>
        <w:pStyle w:val="1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………</w:t>
      </w: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 w:eastAsiaTheme="minorEastAsia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1、2021年部门决算公开表格</w:t>
      </w:r>
    </w:p>
    <w:p>
      <w:pPr>
        <w:ind w:firstLine="640" w:firstLineChars="200"/>
        <w:jc w:val="left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2021年度部门整体支出绩效评价报告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………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1A1A8"/>
    <w:multiLevelType w:val="singleLevel"/>
    <w:tmpl w:val="AC91A1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16A298D"/>
    <w:multiLevelType w:val="singleLevel"/>
    <w:tmpl w:val="B16A298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2FF44C"/>
    <w:multiLevelType w:val="singleLevel"/>
    <w:tmpl w:val="672FF44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2NjYWY0NDFlNmY3YWVjMmFlMWExMWMzMDYzZTMifQ=="/>
  </w:docVars>
  <w:rsids>
    <w:rsidRoot w:val="00172A27"/>
    <w:rsid w:val="0002229B"/>
    <w:rsid w:val="000273BD"/>
    <w:rsid w:val="000415B7"/>
    <w:rsid w:val="00041E3F"/>
    <w:rsid w:val="00055DAA"/>
    <w:rsid w:val="00061F7B"/>
    <w:rsid w:val="000658A3"/>
    <w:rsid w:val="00074155"/>
    <w:rsid w:val="000873EF"/>
    <w:rsid w:val="000A3F69"/>
    <w:rsid w:val="00103957"/>
    <w:rsid w:val="00124A1F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14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C4197"/>
    <w:rsid w:val="003C47E6"/>
    <w:rsid w:val="003C4FC2"/>
    <w:rsid w:val="003E2331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1AF2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48B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75489"/>
    <w:rsid w:val="00DD06FF"/>
    <w:rsid w:val="00DD5FE9"/>
    <w:rsid w:val="00E00C7A"/>
    <w:rsid w:val="00E209CF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633A58"/>
    <w:rsid w:val="06B411F0"/>
    <w:rsid w:val="087403E0"/>
    <w:rsid w:val="08F62D30"/>
    <w:rsid w:val="0A314B36"/>
    <w:rsid w:val="0BE56081"/>
    <w:rsid w:val="136178EF"/>
    <w:rsid w:val="13BE003E"/>
    <w:rsid w:val="15B42303"/>
    <w:rsid w:val="17A87124"/>
    <w:rsid w:val="1AAF32D7"/>
    <w:rsid w:val="21BC598B"/>
    <w:rsid w:val="264762AD"/>
    <w:rsid w:val="27DB542D"/>
    <w:rsid w:val="297271D3"/>
    <w:rsid w:val="2FB00900"/>
    <w:rsid w:val="366364DD"/>
    <w:rsid w:val="370B6762"/>
    <w:rsid w:val="40FA4B57"/>
    <w:rsid w:val="422A0446"/>
    <w:rsid w:val="436B7427"/>
    <w:rsid w:val="440D06CC"/>
    <w:rsid w:val="45F9639D"/>
    <w:rsid w:val="48A033D2"/>
    <w:rsid w:val="48ED43E7"/>
    <w:rsid w:val="4A8E6891"/>
    <w:rsid w:val="4D956083"/>
    <w:rsid w:val="5E7F4E17"/>
    <w:rsid w:val="5F6D12E1"/>
    <w:rsid w:val="60A907EA"/>
    <w:rsid w:val="6145544E"/>
    <w:rsid w:val="698836FF"/>
    <w:rsid w:val="73C93D9A"/>
    <w:rsid w:val="75A4362D"/>
    <w:rsid w:val="79C50170"/>
    <w:rsid w:val="7BE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hint="default"/>
      <w:sz w:val="21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904-B2FB-4FE3-894F-42F14B17B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3122</Words>
  <Characters>3399</Characters>
  <Lines>69</Lines>
  <Paragraphs>19</Paragraphs>
  <TotalTime>0</TotalTime>
  <ScaleCrop>false</ScaleCrop>
  <LinksUpToDate>false</LinksUpToDate>
  <CharactersWithSpaces>3420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何蔚</cp:lastModifiedBy>
  <cp:lastPrinted>2022-07-27T12:55:00Z</cp:lastPrinted>
  <dcterms:modified xsi:type="dcterms:W3CDTF">2023-09-23T06:43:17Z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0F38D925A885468F96033F0EE86C4757_13</vt:lpwstr>
  </property>
</Properties>
</file>