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hint="eastAsia"/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岳阳市教育建设投资资产管理中心</w:t>
      </w:r>
      <w:r>
        <w:rPr>
          <w:rFonts w:hint="eastAsia"/>
          <w:sz w:val="84"/>
          <w:szCs w:val="84"/>
        </w:rPr>
        <w:t>部门决算</w:t>
      </w: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56"/>
          <w:szCs w:val="56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jc w:val="center"/>
        <w:rPr>
          <w:sz w:val="32"/>
          <w:szCs w:val="32"/>
        </w:rPr>
      </w:pPr>
    </w:p>
    <w:p>
      <w:pPr>
        <w:pStyle w:val="11"/>
        <w:spacing w:line="540" w:lineRule="exact"/>
        <w:jc w:val="center"/>
        <w:rPr>
          <w:sz w:val="56"/>
          <w:szCs w:val="56"/>
        </w:rPr>
      </w:pPr>
    </w:p>
    <w:p>
      <w:pPr>
        <w:pStyle w:val="11"/>
        <w:spacing w:line="500" w:lineRule="exact"/>
        <w:jc w:val="center"/>
        <w:rPr>
          <w:b/>
          <w:sz w:val="36"/>
          <w:szCs w:val="28"/>
        </w:rPr>
      </w:pPr>
    </w:p>
    <w:p>
      <w:pPr>
        <w:pStyle w:val="11"/>
        <w:spacing w:line="500" w:lineRule="exact"/>
        <w:jc w:val="center"/>
        <w:rPr>
          <w:b/>
          <w:sz w:val="36"/>
          <w:szCs w:val="28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 岳阳市教育建设投资资产管理中心</w:t>
      </w:r>
      <w:r>
        <w:rPr>
          <w:rFonts w:hint="eastAsia"/>
          <w:b/>
          <w:sz w:val="28"/>
          <w:szCs w:val="28"/>
        </w:rPr>
        <w:t>单位概况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  <w:r>
        <w:rPr>
          <w:rFonts w:hint="eastAsia" w:ascii="宋体" w:hAnsi="Times New Roman" w:eastAsia="宋体"/>
          <w:color w:val="000000"/>
          <w:kern w:val="0"/>
          <w:sz w:val="28"/>
          <w:szCs w:val="24"/>
          <w:highlight w:val="white"/>
          <w:lang w:eastAsia="zh-CN"/>
        </w:rPr>
        <w:t>及决算单位构成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cs="仿宋_GB2312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国有资本经营预算财政拨款支出决算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1"/>
        <w:jc w:val="center"/>
        <w:rPr>
          <w:sz w:val="84"/>
          <w:szCs w:val="84"/>
        </w:rPr>
      </w:pPr>
    </w:p>
    <w:p>
      <w:pPr>
        <w:pStyle w:val="11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岳阳市教育建设投资资产管理中心</w:t>
      </w:r>
      <w:r>
        <w:rPr>
          <w:rFonts w:hint="eastAsia"/>
          <w:sz w:val="84"/>
          <w:szCs w:val="84"/>
        </w:rPr>
        <w:t>单位概况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为市直教育单位基本建设提供保障。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市直教育单位教育投资管理的规章制度，编报基建及维修计划和项目管理，负责基建及维修项目的预、决算，负责市直教育单位投资、融资、债务管理和非经营性国有资产管理，监管市直教育单位经营性国有资产。</w:t>
      </w: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（一）内设机构设置。岳阳市教育建设投资资产管理中心单位内设机构包括：资产管理中心。</w:t>
      </w: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（二）决算单位构成。岳阳市教育建设投资资产管理中心单位202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年部门决算汇总公开单位构成包括：岳阳市教育建设投资资产管理中心单位本级。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11"/>
        <w:jc w:val="center"/>
        <w:rPr>
          <w:sz w:val="70"/>
          <w:szCs w:val="70"/>
        </w:rPr>
      </w:pPr>
    </w:p>
    <w:p>
      <w:pPr>
        <w:pStyle w:val="11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1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1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2021年度收、支总计13294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万元。与上年相比，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减少4511.83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25.34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市直学校归还银行贷款计息增加，国有土地使用权出让收入减少至0。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2021年度收入合计12262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64万元，其中：财政拨款收入12262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64万元，占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%；上级补助收入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%；事业收入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%；附属单位上缴收入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2021年度支出合计13294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%；项目支出13294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%；上缴上级支出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%；经营支出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%；对附属单位补助支出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i/>
          <w:i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2021年度财政拨款收、支总计13294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万元，与上年相比，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减少4511.83</w:t>
      </w:r>
      <w:r>
        <w:rPr>
          <w:rFonts w:hint="eastAsia" w:asciiTheme="minorEastAsia" w:hAnsiTheme="minorEastAsia" w:eastAsiaTheme="minorEastAsia"/>
          <w:sz w:val="32"/>
          <w:szCs w:val="32"/>
        </w:rPr>
        <w:t>万元,减少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25.34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市直学校归还银行贷款计息增加，国有土地使用权出让收入减少至0。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i/>
          <w:i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2021年度财政拨款支出13294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%，与上年相比，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减少4511.83</w:t>
      </w:r>
      <w:r>
        <w:rPr>
          <w:rFonts w:hint="eastAsia" w:asciiTheme="minorEastAsia" w:hAnsiTheme="minorEastAsia" w:eastAsiaTheme="minorEastAsia"/>
          <w:sz w:val="32"/>
          <w:szCs w:val="32"/>
        </w:rPr>
        <w:t>万元,减少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25.34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市直学校归还银行贷款计息增加，国有土地使用权出让收入减少至0。</w:t>
      </w:r>
    </w:p>
    <w:p>
      <w:pPr>
        <w:pStyle w:val="11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11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2021年度财政拨款支出13294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万元，主要用于以下方面：一般公共服务（类）支出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%；教育（类）支出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13158.74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98.98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;住房保障(类）支出136万元，占1.02%。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2021年度财政拨款支出年初预算数为13294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万元，支出决算数为13294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教育支出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教育费附加安排的支出</w:t>
      </w:r>
      <w:r>
        <w:rPr>
          <w:rFonts w:hint="eastAsia" w:asciiTheme="minorEastAsia" w:hAnsiTheme="minorEastAsia" w:eastAsiaTheme="minorEastAsia"/>
          <w:sz w:val="32"/>
          <w:szCs w:val="32"/>
        </w:rPr>
        <w:t>（款）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其他教育费附加安排的支出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</w:t>
      </w:r>
    </w:p>
    <w:p>
      <w:pPr>
        <w:pStyle w:val="11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11783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万元，支出决算为10798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91.65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小</w:t>
      </w:r>
      <w:r>
        <w:rPr>
          <w:rFonts w:hint="eastAsia" w:asciiTheme="minorEastAsia" w:hAnsiTheme="minorEastAsia" w:eastAsiaTheme="minorEastAsia"/>
          <w:sz w:val="32"/>
          <w:szCs w:val="32"/>
        </w:rPr>
        <w:t>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部分工程项目尚未达到工程进度，不能财务核算，支付相应的工程款。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教育支出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其他教育支出</w:t>
      </w:r>
      <w:r>
        <w:rPr>
          <w:rFonts w:hint="eastAsia" w:asciiTheme="minorEastAsia" w:hAnsiTheme="minorEastAsia" w:eastAsiaTheme="minorEastAsia"/>
          <w:sz w:val="32"/>
          <w:szCs w:val="32"/>
        </w:rPr>
        <w:t>（款）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其他教育支出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</w:t>
      </w:r>
    </w:p>
    <w:p>
      <w:pPr>
        <w:pStyle w:val="11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2360.1</w:t>
      </w:r>
      <w:r>
        <w:rPr>
          <w:rFonts w:hint="eastAsia" w:asciiTheme="minorEastAsia" w:hAnsiTheme="minorEastAsia" w:eastAsiaTheme="minorEastAsia"/>
          <w:sz w:val="32"/>
          <w:szCs w:val="32"/>
        </w:rPr>
        <w:t>万元，由于预算数为0，无法计算百分比，决算数大于年初预算数的主要原因是：偿还债务及利息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本金2240万元，和市直幼儿园托育资金120.1万元的增加。</w:t>
      </w:r>
    </w:p>
    <w:p>
      <w:pPr>
        <w:pStyle w:val="11"/>
        <w:numPr>
          <w:ilvl w:val="0"/>
          <w:numId w:val="2"/>
        </w:numPr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住房保障支出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保障性安居工程支出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棚户区改造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）。</w:t>
      </w:r>
    </w:p>
    <w:p>
      <w:pPr>
        <w:pStyle w:val="11"/>
        <w:numPr>
          <w:ilvl w:val="0"/>
          <w:numId w:val="0"/>
        </w:num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136</w:t>
      </w:r>
      <w:r>
        <w:rPr>
          <w:rFonts w:hint="eastAsia" w:asciiTheme="minorEastAsia" w:hAnsiTheme="minorEastAsia" w:eastAsiaTheme="minorEastAsia"/>
          <w:sz w:val="32"/>
          <w:szCs w:val="32"/>
        </w:rPr>
        <w:t>万元，由于预算数为0，无法计算百分比，决算数大于年初预算数的主要原因是：岳阳楼区九华山棚改项目一期（市一中校园整体提质改造）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的增加。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无此类支出。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pStyle w:val="11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1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1"/>
        <w:ind w:firstLine="960" w:firstLineChars="3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万元，决算数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与</w:t>
      </w:r>
      <w:r>
        <w:rPr>
          <w:rFonts w:hint="eastAsia" w:asciiTheme="minorEastAsia" w:hAnsiTheme="minorEastAsia" w:eastAsiaTheme="minorEastAsia"/>
          <w:sz w:val="32"/>
          <w:szCs w:val="32"/>
        </w:rPr>
        <w:t>预算数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一致无差异，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主要原因是单位无</w:t>
      </w:r>
      <w:r>
        <w:rPr>
          <w:rFonts w:hint="eastAsia" w:ascii="宋体" w:hAnsi="宋体" w:eastAsia="宋体"/>
          <w:bCs/>
          <w:sz w:val="32"/>
          <w:szCs w:val="32"/>
        </w:rPr>
        <w:t>因公出国（境）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预算安排和支出，</w:t>
      </w:r>
      <w:r>
        <w:rPr>
          <w:rFonts w:hint="eastAsia" w:ascii="宋体" w:hAnsi="宋体" w:eastAsia="宋体"/>
          <w:bCs/>
          <w:sz w:val="32"/>
          <w:szCs w:val="32"/>
        </w:rPr>
        <w:t>与上年相比无</w:t>
      </w:r>
      <w:r>
        <w:rPr>
          <w:rFonts w:hint="eastAsia" w:ascii="宋体" w:hAnsi="宋体" w:eastAsia="宋体"/>
          <w:bCs/>
          <w:sz w:val="32"/>
          <w:szCs w:val="32"/>
          <w:lang w:eastAsia="zh-CN"/>
        </w:rPr>
        <w:t>增减</w:t>
      </w:r>
      <w:r>
        <w:rPr>
          <w:rFonts w:hint="eastAsia" w:ascii="宋体" w:hAnsi="宋体" w:eastAsia="宋体"/>
          <w:bCs/>
          <w:sz w:val="32"/>
          <w:szCs w:val="32"/>
        </w:rPr>
        <w:t>变化</w:t>
      </w:r>
      <w:r>
        <w:rPr>
          <w:rFonts w:hint="eastAsia" w:ascii="宋体" w:hAnsi="宋体" w:eastAsia="宋体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主要原因是单位近两年均无</w:t>
      </w:r>
      <w:r>
        <w:rPr>
          <w:rFonts w:hint="eastAsia" w:ascii="宋体" w:hAnsi="宋体" w:eastAsia="宋体"/>
          <w:bCs/>
          <w:sz w:val="32"/>
          <w:szCs w:val="32"/>
        </w:rPr>
        <w:t>因公出国（境）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预算安排和支出</w:t>
      </w:r>
      <w:r>
        <w:rPr>
          <w:rFonts w:hint="eastAsia" w:ascii="宋体" w:hAnsi="宋体" w:eastAsia="宋体"/>
          <w:bCs/>
          <w:sz w:val="32"/>
          <w:szCs w:val="32"/>
        </w:rPr>
        <w:t>。</w:t>
      </w:r>
    </w:p>
    <w:p>
      <w:pPr>
        <w:pStyle w:val="11"/>
        <w:ind w:firstLine="960" w:firstLineChars="3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万元，决算数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与</w:t>
      </w:r>
      <w:r>
        <w:rPr>
          <w:rFonts w:hint="eastAsia" w:asciiTheme="minorEastAsia" w:hAnsiTheme="minorEastAsia" w:eastAsiaTheme="minorEastAsia"/>
          <w:sz w:val="32"/>
          <w:szCs w:val="32"/>
        </w:rPr>
        <w:t>预算数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一致无差异，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主要原因是单位厉行节约，严控公务接待，</w:t>
      </w:r>
      <w:r>
        <w:rPr>
          <w:rFonts w:hint="eastAsia" w:ascii="宋体" w:hAnsi="宋体" w:eastAsia="宋体"/>
          <w:bCs/>
          <w:sz w:val="32"/>
          <w:szCs w:val="32"/>
        </w:rPr>
        <w:t>与上年相比无</w:t>
      </w:r>
      <w:r>
        <w:rPr>
          <w:rFonts w:hint="eastAsia" w:ascii="宋体" w:hAnsi="宋体" w:eastAsia="宋体"/>
          <w:bCs/>
          <w:sz w:val="32"/>
          <w:szCs w:val="32"/>
          <w:lang w:eastAsia="zh-CN"/>
        </w:rPr>
        <w:t>增减</w:t>
      </w:r>
      <w:r>
        <w:rPr>
          <w:rFonts w:hint="eastAsia" w:ascii="宋体" w:hAnsi="宋体" w:eastAsia="宋体"/>
          <w:bCs/>
          <w:sz w:val="32"/>
          <w:szCs w:val="32"/>
        </w:rPr>
        <w:t>变化</w:t>
      </w:r>
      <w:r>
        <w:rPr>
          <w:rFonts w:hint="eastAsia" w:ascii="宋体" w:hAnsi="宋体" w:eastAsia="宋体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主要原因是单位一直厉行节约，严控公务接待</w:t>
      </w:r>
      <w:r>
        <w:rPr>
          <w:rFonts w:hint="eastAsia" w:ascii="宋体" w:hAnsi="宋体" w:eastAsia="宋体"/>
          <w:bCs/>
          <w:sz w:val="32"/>
          <w:szCs w:val="32"/>
        </w:rPr>
        <w:t>。</w:t>
      </w:r>
    </w:p>
    <w:p>
      <w:pPr>
        <w:keepNext/>
        <w:keepLines/>
        <w:autoSpaceDE w:val="0"/>
        <w:autoSpaceDN w:val="0"/>
        <w:adjustRightInd w:val="0"/>
        <w:spacing w:beforeLines="0" w:afterLines="0" w:line="560" w:lineRule="exact"/>
        <w:ind w:firstLine="640"/>
        <w:rPr>
          <w:rFonts w:hint="eastAsia" w:ascii="宋体" w:hAnsi="Times New Roman" w:eastAsia="宋体"/>
          <w:sz w:val="32"/>
          <w:highlight w:val="white"/>
          <w:lang w:val="zh-CN"/>
        </w:rPr>
      </w:pPr>
      <w:r>
        <w:rPr>
          <w:rFonts w:hint="eastAsia" w:ascii="宋体" w:hAnsi="Times New Roman" w:eastAsia="宋体"/>
          <w:color w:val="000000"/>
          <w:sz w:val="32"/>
          <w:highlight w:val="white"/>
        </w:rPr>
        <w:t>公务用车购置费支出预算为0万元，支出决算为0万元，决算数与预算数一致</w:t>
      </w:r>
      <w:r>
        <w:rPr>
          <w:rFonts w:hint="eastAsia" w:ascii="宋体" w:hAnsi="Times New Roman" w:eastAsia="宋体"/>
          <w:color w:val="000000"/>
          <w:sz w:val="32"/>
          <w:highlight w:val="white"/>
          <w:lang w:eastAsia="zh-CN"/>
        </w:rPr>
        <w:t>无差异</w:t>
      </w:r>
      <w:r>
        <w:rPr>
          <w:rFonts w:hint="eastAsia" w:ascii="宋体" w:hAnsi="Times New Roman" w:eastAsia="宋体"/>
          <w:color w:val="000000"/>
          <w:sz w:val="32"/>
          <w:highlight w:val="white"/>
        </w:rPr>
        <w:t>，主要原因是</w:t>
      </w:r>
      <w:r>
        <w:rPr>
          <w:rFonts w:hint="eastAsia" w:ascii="宋体" w:hAnsi="Times New Roman" w:eastAsia="宋体"/>
          <w:color w:val="000000"/>
          <w:sz w:val="32"/>
          <w:highlight w:val="white"/>
          <w:lang w:eastAsia="zh-CN"/>
        </w:rPr>
        <w:t>单位无</w:t>
      </w:r>
      <w:r>
        <w:rPr>
          <w:rFonts w:hint="eastAsia" w:ascii="宋体" w:hAnsi="Times New Roman" w:eastAsia="宋体"/>
          <w:color w:val="000000"/>
          <w:sz w:val="32"/>
          <w:highlight w:val="white"/>
          <w:lang w:val="zh-CN"/>
        </w:rPr>
        <w:t>公务用车购置安排。</w:t>
      </w:r>
      <w:r>
        <w:rPr>
          <w:rFonts w:hint="eastAsia" w:ascii="宋体" w:hAnsi="Times New Roman" w:eastAsia="宋体"/>
          <w:sz w:val="32"/>
          <w:highlight w:val="white"/>
        </w:rPr>
        <w:t>与上年相比无增减变化，主要原因是</w:t>
      </w:r>
      <w:r>
        <w:rPr>
          <w:rFonts w:hint="eastAsia" w:ascii="宋体" w:hAnsi="Times New Roman" w:eastAsia="宋体"/>
          <w:sz w:val="32"/>
          <w:highlight w:val="white"/>
          <w:lang w:eastAsia="zh-CN"/>
        </w:rPr>
        <w:t>单位近两年均</w:t>
      </w:r>
      <w:r>
        <w:rPr>
          <w:rFonts w:hint="eastAsia" w:ascii="宋体" w:hAnsi="Times New Roman" w:eastAsia="宋体"/>
          <w:color w:val="000000"/>
          <w:sz w:val="32"/>
          <w:highlight w:val="white"/>
          <w:lang w:eastAsia="zh-CN"/>
        </w:rPr>
        <w:t>无</w:t>
      </w:r>
      <w:r>
        <w:rPr>
          <w:rFonts w:hint="eastAsia" w:ascii="宋体" w:hAnsi="Times New Roman" w:eastAsia="宋体"/>
          <w:color w:val="000000"/>
          <w:sz w:val="32"/>
          <w:highlight w:val="white"/>
          <w:lang w:val="zh-CN"/>
        </w:rPr>
        <w:t>公务用车购置安排。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="宋体" w:hAnsi="Times New Roman" w:eastAsia="宋体"/>
          <w:color w:val="000000"/>
          <w:sz w:val="32"/>
          <w:highlight w:val="white"/>
        </w:rPr>
        <w:t>决算数与预算数一致</w:t>
      </w:r>
      <w:r>
        <w:rPr>
          <w:rFonts w:hint="eastAsia" w:ascii="宋体" w:hAnsi="Times New Roman" w:eastAsia="宋体"/>
          <w:color w:val="000000"/>
          <w:sz w:val="32"/>
          <w:highlight w:val="white"/>
          <w:lang w:eastAsia="zh-CN"/>
        </w:rPr>
        <w:t>无差异，</w:t>
      </w:r>
      <w:r>
        <w:rPr>
          <w:rFonts w:hint="eastAsia" w:asciiTheme="minorEastAsia" w:hAnsiTheme="minorEastAsia" w:eastAsiaTheme="minorEastAsia"/>
          <w:sz w:val="32"/>
          <w:szCs w:val="32"/>
        </w:rPr>
        <w:t>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单位无公务用车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</w:t>
      </w:r>
      <w:r>
        <w:rPr>
          <w:rFonts w:hint="eastAsia" w:ascii="宋体" w:hAnsi="Times New Roman" w:eastAsia="宋体"/>
          <w:sz w:val="32"/>
          <w:highlight w:val="white"/>
        </w:rPr>
        <w:t>无增减变化</w:t>
      </w:r>
      <w:r>
        <w:rPr>
          <w:rFonts w:hint="eastAsia" w:ascii="宋体" w:hAnsi="Times New Roman" w:eastAsia="宋体"/>
          <w:sz w:val="32"/>
          <w:highlight w:val="white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单位无公务用车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%,因公出国（境）费支出决算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1、因公出国（境）费支出决算为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万元，全年安排因公出国（境）团组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个，累计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全年未作出因公出国（境）公务安排。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人次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全年没有发生公务接待活动。</w:t>
      </w:r>
    </w:p>
    <w:p>
      <w:pPr>
        <w:ind w:firstLine="800" w:firstLineChars="2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万元，其中：公务用车购置费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万元，单位本级更新公务用车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辆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sz w:val="32"/>
          <w:szCs w:val="32"/>
        </w:rPr>
        <w:t>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万元，截止2021年12月31日，我单位开支财政拨款的公务用车保有量为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/>
          <w:sz w:val="32"/>
          <w:szCs w:val="32"/>
        </w:rPr>
        <w:t>当年没有购置公务用车。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11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2021年度政府性基金预算财政拨款收入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万元；年初结转和结余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万元；年末结转和结余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2021年度本单位无</w:t>
      </w:r>
      <w:r>
        <w:rPr>
          <w:rFonts w:hint="eastAsia" w:asciiTheme="minorEastAsia" w:hAnsiTheme="minorEastAsia" w:eastAsiaTheme="minorEastAsia"/>
          <w:sz w:val="32"/>
          <w:szCs w:val="32"/>
        </w:rPr>
        <w:t>政府性基金预算收入支出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1"/>
        <w:numPr>
          <w:ilvl w:val="0"/>
          <w:numId w:val="3"/>
        </w:numPr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hAnsi="黑体"/>
          <w:b/>
          <w:sz w:val="32"/>
          <w:szCs w:val="32"/>
        </w:rPr>
        <w:t>国有资本经营预算财政拨款支出决算</w:t>
      </w:r>
      <w:r>
        <w:rPr>
          <w:rFonts w:hint="eastAsia" w:hAnsi="黑体"/>
          <w:b/>
          <w:sz w:val="32"/>
          <w:szCs w:val="32"/>
          <w:lang w:eastAsia="zh-CN"/>
        </w:rPr>
        <w:t>情况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2021年度国有资本经营预算财政拨款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i w:val="0"/>
          <w:iCs/>
          <w:color w:val="auto"/>
          <w:sz w:val="32"/>
          <w:szCs w:val="32"/>
          <w:lang w:val="en-US" w:eastAsia="zh-CN"/>
        </w:rPr>
        <w:t>2021年度</w:t>
      </w:r>
      <w:r>
        <w:rPr>
          <w:rFonts w:hint="eastAsia" w:asciiTheme="minorEastAsia" w:hAnsiTheme="minorEastAsia" w:eastAsiaTheme="minorEastAsia"/>
          <w:i w:val="0"/>
          <w:iCs/>
          <w:color w:val="auto"/>
          <w:sz w:val="32"/>
          <w:szCs w:val="32"/>
        </w:rPr>
        <w:t>本单位无国有资本经营预算财政拨款支出</w:t>
      </w:r>
      <w:r>
        <w:rPr>
          <w:rFonts w:hint="eastAsia" w:asciiTheme="minorEastAsia" w:hAnsiTheme="minorEastAsia" w:eastAsiaTheme="minorEastAsia"/>
          <w:i w:val="0"/>
          <w:iCs/>
          <w:color w:val="auto"/>
          <w:sz w:val="32"/>
          <w:szCs w:val="32"/>
          <w:lang w:eastAsia="zh-CN"/>
        </w:rPr>
        <w:t>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十、机关运行经费支出说明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本部门2021年度机关运行经费支出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万元，比年初预算数（或者上年决算数）增加（减少）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万元，增长（降低）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机关运行经费在岳阳市教育体育局列支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十一、一般性支出情况说明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2021年本部门开支会议费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部门开支会议费在岳阳市教育体育局列支；</w:t>
      </w:r>
      <w:r>
        <w:rPr>
          <w:rFonts w:hint="eastAsia" w:asciiTheme="minorEastAsia" w:hAnsiTheme="minorEastAsia" w:eastAsiaTheme="minorEastAsia"/>
          <w:sz w:val="32"/>
          <w:szCs w:val="32"/>
        </w:rPr>
        <w:t>开支培训费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未</w:t>
      </w:r>
      <w:r>
        <w:rPr>
          <w:rFonts w:hint="eastAsia" w:asciiTheme="minorEastAsia" w:hAnsiTheme="minorEastAsia" w:eastAsiaTheme="minorEastAsia"/>
          <w:sz w:val="32"/>
          <w:szCs w:val="32"/>
        </w:rPr>
        <w:t>开展培训，人数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无培训活动，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未</w:t>
      </w:r>
      <w:r>
        <w:rPr>
          <w:rFonts w:hint="eastAsia" w:asciiTheme="minorEastAsia" w:hAnsiTheme="minorEastAsia" w:eastAsiaTheme="minorEastAsia"/>
          <w:sz w:val="32"/>
          <w:szCs w:val="32"/>
        </w:rPr>
        <w:t>举办节庆、晚会、论坛、赛事活动，开支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十二、政府采购支出说明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本部门2021年度政府采购支出总额12130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73万元，其中：政府采购货物支出1502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66万元、政府采购工程支出4012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97万元、政府采购服务支出6615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09万元。授予中小企业合同金额6615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09万元，占政府采购支出总额的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54.53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%，其中：授予小微企业合同金额6615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32"/>
          <w:szCs w:val="32"/>
        </w:rPr>
        <w:t>09万元，占授予中小企业合同金额的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%；货物采购授予中小企业合同金额占货物支出金额的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%，工程采购授予中小企业合同金额占工程支出金额的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%，服务采购授予中小企业合同金额占服务支出金额的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11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截至2021年12月31日，部门（单位）共有车辆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辆，其中，主要领导干部用车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辆，机要通信用车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辆、应急保障用车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辆、执法执勤用车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辆、特种专业技术用车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辆、其他用车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辆，其他用车</w:t>
      </w:r>
      <w:r>
        <w:rPr>
          <w:rFonts w:hint="eastAsia" w:ascii="宋体" w:hAnsi="Times New Roman" w:eastAsia="宋体"/>
          <w:sz w:val="32"/>
        </w:rPr>
        <w:t>主要是用于机要通信和应急保障之外公务用途的车辆</w:t>
      </w:r>
      <w:r>
        <w:rPr>
          <w:rFonts w:hint="eastAsia" w:asciiTheme="minorEastAsia" w:hAnsiTheme="minorEastAsia" w:eastAsiaTheme="minorEastAsia"/>
          <w:sz w:val="32"/>
          <w:szCs w:val="32"/>
        </w:rPr>
        <w:t>；单位价值50万元以上通用设备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台（套）；单位价值100万元以上专用设备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台（套）。</w:t>
      </w:r>
      <w:bookmarkStart w:id="0" w:name="_GoBack"/>
      <w:bookmarkEnd w:id="0"/>
    </w:p>
    <w:p>
      <w:pPr>
        <w:pStyle w:val="11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  <w:lang w:eastAsia="zh-CN"/>
        </w:rPr>
        <w:t>十四、</w:t>
      </w:r>
      <w:r>
        <w:rPr>
          <w:rFonts w:hint="eastAsia" w:hAnsi="黑体"/>
          <w:b/>
          <w:sz w:val="32"/>
          <w:szCs w:val="32"/>
        </w:rPr>
        <w:t>2021年度预算绩效情况说明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（1）绩效管理评价工作开展情况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根据预算绩效管理要求，我部门组织对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2021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年度一般公共预算项目支出全面开展绩效自评，其中，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项目共12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7423.6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万元，占一般公共预算项目支出总额的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55.83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个政府性基金预算项目支出开展绩效自评，共涉及资金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0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万元，占政府性基金预算项目支出总额的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2021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个国有资本经营预算项目支出开展绩效自评，共涉及资金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万元，占国有资本经营预算项目支出总额的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市十八中提质改造、市直学校空调安装、电力增容及线路改造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”等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个项目开展了部门评价，涉及一般公共预算支出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7423.6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万元，政府性基金预算支出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万元，国有资本经营预算支出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万元。从评价情况来看，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整体绩效评价良好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（2）部门决算中项目绩效自评结果（如有）。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市直学校空调安装、电力增容及线路改造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项目绩效自评综述：根据年初设定的绩效目标，项目绩效自评得分为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95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分。项目全年预算数为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1000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万元，执行数为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805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万元，完成预算的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80.5%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。项目绩效目标完成情况：市直中小学、幼儿园安装空调、设施设备及电改增容。发现的主要问题及原因：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项目工程进度缓慢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。下一步改进措施：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加快项目施工进度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</w:t>
      </w:r>
      <w:r>
        <w:rPr>
          <w:rFonts w:cs="黑体" w:asciiTheme="minorEastAsia" w:hAnsiTheme="minorEastAsia"/>
          <w:b/>
          <w:color w:val="000000"/>
          <w:kern w:val="0"/>
          <w:sz w:val="32"/>
          <w:szCs w:val="32"/>
        </w:rPr>
        <w:t>3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）部门评价项目绩效评价结果。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部门评价项目数量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个以内的，至少将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1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个部门评价报告向社会公开；部门评价项目数量大于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3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个的，至少将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2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个部门评价报告向社会公开。报告框架可参考《项目支出绩效评价办法》（财预〔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〕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10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号）中《项目支出绩效评价报告（参考提纲）》、《湖南省预算支出绩效评价管理办法》（湘财绩〔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〕7号）。</w:t>
      </w:r>
    </w:p>
    <w:p>
      <w:pPr>
        <w:pStyle w:val="11"/>
        <w:rPr>
          <w:sz w:val="72"/>
          <w:szCs w:val="72"/>
        </w:rPr>
      </w:pPr>
    </w:p>
    <w:p>
      <w:pPr>
        <w:pStyle w:val="11"/>
        <w:jc w:val="both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二、机关运行经费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</w:p>
    <w:p>
      <w:pPr>
        <w:pStyle w:val="11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1、2021年部门决算公开表格</w:t>
      </w:r>
    </w:p>
    <w:p>
      <w:pPr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A298D"/>
    <w:multiLevelType w:val="singleLevel"/>
    <w:tmpl w:val="B16A298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34120C"/>
    <w:multiLevelType w:val="singleLevel"/>
    <w:tmpl w:val="F934120C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2NjYWY0NDFlNmY3YWVjMmFlMWExMWMzMDYzZTMifQ=="/>
  </w:docVars>
  <w:rsids>
    <w:rsidRoot w:val="00172A27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52A63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633A58"/>
    <w:rsid w:val="05976AEA"/>
    <w:rsid w:val="06B411F0"/>
    <w:rsid w:val="087403E0"/>
    <w:rsid w:val="0BE56081"/>
    <w:rsid w:val="11664088"/>
    <w:rsid w:val="126B2BAF"/>
    <w:rsid w:val="13BE003E"/>
    <w:rsid w:val="153310BF"/>
    <w:rsid w:val="17A87124"/>
    <w:rsid w:val="210F790F"/>
    <w:rsid w:val="27DB542D"/>
    <w:rsid w:val="2938670E"/>
    <w:rsid w:val="366364DD"/>
    <w:rsid w:val="370B6762"/>
    <w:rsid w:val="3ADC46E1"/>
    <w:rsid w:val="3C502E41"/>
    <w:rsid w:val="45F9639D"/>
    <w:rsid w:val="48ED43E7"/>
    <w:rsid w:val="49815409"/>
    <w:rsid w:val="4B2477C4"/>
    <w:rsid w:val="4CB8653E"/>
    <w:rsid w:val="4EA05241"/>
    <w:rsid w:val="4F1807EC"/>
    <w:rsid w:val="576A2A02"/>
    <w:rsid w:val="5AC316C5"/>
    <w:rsid w:val="5AC979D0"/>
    <w:rsid w:val="5B95094C"/>
    <w:rsid w:val="60A907EA"/>
    <w:rsid w:val="6145544E"/>
    <w:rsid w:val="71E06DF7"/>
    <w:rsid w:val="76B13D52"/>
    <w:rsid w:val="7D26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qFormat/>
    <w:uiPriority w:val="99"/>
    <w:pPr>
      <w:spacing w:before="100" w:beforeAutospacing="1" w:after="0"/>
      <w:ind w:left="0" w:firstLine="420" w:firstLineChars="200"/>
    </w:p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0904-B2FB-4FE3-894F-42F14B17B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3624</Words>
  <Characters>4001</Characters>
  <Lines>69</Lines>
  <Paragraphs>19</Paragraphs>
  <TotalTime>0</TotalTime>
  <ScaleCrop>false</ScaleCrop>
  <LinksUpToDate>false</LinksUpToDate>
  <CharactersWithSpaces>4029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何蔚</cp:lastModifiedBy>
  <cp:lastPrinted>2022-07-27T12:55:00Z</cp:lastPrinted>
  <dcterms:modified xsi:type="dcterms:W3CDTF">2023-09-23T05:54:43Z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B2C641B3028A44C2ADD0F7EBB21CC7DB_13</vt:lpwstr>
  </property>
</Properties>
</file>