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中小学教学质量监控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岳阳市教育科学技术研究院</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岳阳市教育体育局</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749"/>
        <w:gridCol w:w="1772"/>
        <w:gridCol w:w="22"/>
        <w:gridCol w:w="391"/>
        <w:gridCol w:w="307"/>
        <w:gridCol w:w="677"/>
        <w:gridCol w:w="670"/>
        <w:gridCol w:w="409"/>
        <w:gridCol w:w="141"/>
        <w:gridCol w:w="611"/>
        <w:gridCol w:w="1625"/>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郝乐心</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8805718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lang w:eastAsia="zh-CN"/>
              </w:rPr>
              <w:t>岳阳市教育科学技术研究院</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49"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w w:val="90"/>
                <w:sz w:val="24"/>
                <w:lang w:val="en-US" w:eastAsia="zh-CN"/>
              </w:rPr>
              <w:t>60</w:t>
            </w:r>
          </w:p>
        </w:tc>
        <w:tc>
          <w:tcPr>
            <w:tcW w:w="1772"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60</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52"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w w:val="90"/>
                <w:sz w:val="24"/>
                <w:lang w:val="en-US" w:eastAsia="zh-CN"/>
              </w:rPr>
              <w:t>60</w:t>
            </w:r>
          </w:p>
        </w:tc>
        <w:tc>
          <w:tcPr>
            <w:tcW w:w="1625"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547"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49" w:type="dxa"/>
            <w:tcBorders>
              <w:bottom w:val="single" w:color="auto" w:sz="4" w:space="0"/>
            </w:tcBorders>
            <w:vAlign w:val="center"/>
          </w:tcPr>
          <w:p>
            <w:pPr>
              <w:rPr>
                <w:rFonts w:eastAsia="仿宋_GB2312"/>
                <w:spacing w:val="-6"/>
                <w:sz w:val="24"/>
              </w:rPr>
            </w:pPr>
          </w:p>
        </w:tc>
        <w:tc>
          <w:tcPr>
            <w:tcW w:w="1772"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52" w:type="dxa"/>
            <w:gridSpan w:val="2"/>
            <w:tcBorders>
              <w:bottom w:val="single" w:color="auto" w:sz="4" w:space="0"/>
            </w:tcBorders>
            <w:vAlign w:val="center"/>
          </w:tcPr>
          <w:p>
            <w:pPr>
              <w:rPr>
                <w:rFonts w:eastAsia="仿宋_GB2312"/>
                <w:spacing w:val="-6"/>
                <w:sz w:val="24"/>
              </w:rPr>
            </w:pPr>
          </w:p>
        </w:tc>
        <w:tc>
          <w:tcPr>
            <w:tcW w:w="1625"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47"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49" w:type="dxa"/>
            <w:tcBorders>
              <w:bottom w:val="single" w:color="auto" w:sz="4" w:space="0"/>
            </w:tcBorders>
            <w:vAlign w:val="center"/>
          </w:tcPr>
          <w:p>
            <w:pPr>
              <w:rPr>
                <w:rFonts w:eastAsia="仿宋_GB2312"/>
                <w:sz w:val="24"/>
              </w:rPr>
            </w:pPr>
          </w:p>
        </w:tc>
        <w:tc>
          <w:tcPr>
            <w:tcW w:w="1772"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52" w:type="dxa"/>
            <w:gridSpan w:val="2"/>
            <w:tcBorders>
              <w:bottom w:val="single" w:color="auto" w:sz="4" w:space="0"/>
            </w:tcBorders>
            <w:vAlign w:val="center"/>
          </w:tcPr>
          <w:p>
            <w:pPr>
              <w:rPr>
                <w:rFonts w:eastAsia="仿宋_GB2312"/>
                <w:sz w:val="24"/>
              </w:rPr>
            </w:pPr>
          </w:p>
        </w:tc>
        <w:tc>
          <w:tcPr>
            <w:tcW w:w="1625" w:type="dxa"/>
            <w:tcBorders>
              <w:bottom w:val="single" w:color="auto" w:sz="4" w:space="0"/>
            </w:tcBorders>
            <w:vAlign w:val="center"/>
          </w:tcPr>
          <w:p>
            <w:pPr>
              <w:rPr>
                <w:rFonts w:eastAsia="仿宋_GB2312"/>
                <w:sz w:val="24"/>
              </w:rPr>
            </w:pPr>
            <w:r>
              <w:rPr>
                <w:rFonts w:hint="eastAsia" w:eastAsia="仿宋_GB2312"/>
                <w:sz w:val="24"/>
              </w:rPr>
              <w:t>省财政</w:t>
            </w:r>
          </w:p>
        </w:tc>
        <w:tc>
          <w:tcPr>
            <w:tcW w:w="547"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49" w:type="dxa"/>
            <w:tcBorders>
              <w:bottom w:val="single" w:color="auto" w:sz="4" w:space="0"/>
            </w:tcBorders>
            <w:vAlign w:val="center"/>
          </w:tcPr>
          <w:p>
            <w:pPr>
              <w:rPr>
                <w:rFonts w:hint="default" w:eastAsia="仿宋_GB2312"/>
                <w:sz w:val="24"/>
                <w:lang w:val="en-US" w:eastAsia="zh-CN"/>
              </w:rPr>
            </w:pPr>
            <w:r>
              <w:rPr>
                <w:rFonts w:hint="eastAsia" w:eastAsia="仿宋_GB2312"/>
                <w:w w:val="90"/>
                <w:sz w:val="24"/>
                <w:lang w:val="en-US" w:eastAsia="zh-CN"/>
              </w:rPr>
              <w:t>60</w:t>
            </w:r>
          </w:p>
        </w:tc>
        <w:tc>
          <w:tcPr>
            <w:tcW w:w="1772"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r>
              <w:rPr>
                <w:rFonts w:hint="eastAsia" w:eastAsia="仿宋_GB2312"/>
                <w:w w:val="90"/>
                <w:sz w:val="24"/>
                <w:lang w:val="en-US" w:eastAsia="zh-CN"/>
              </w:rPr>
              <w:t>60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52" w:type="dxa"/>
            <w:gridSpan w:val="2"/>
            <w:tcBorders>
              <w:bottom w:val="single" w:color="auto" w:sz="4" w:space="0"/>
            </w:tcBorders>
            <w:vAlign w:val="center"/>
          </w:tcPr>
          <w:p>
            <w:pPr>
              <w:rPr>
                <w:rFonts w:eastAsia="仿宋_GB2312"/>
                <w:sz w:val="24"/>
              </w:rPr>
            </w:pPr>
            <w:r>
              <w:rPr>
                <w:rFonts w:hint="eastAsia" w:eastAsia="仿宋_GB2312"/>
                <w:w w:val="90"/>
                <w:sz w:val="24"/>
                <w:lang w:val="en-US" w:eastAsia="zh-CN"/>
              </w:rPr>
              <w:t>60</w:t>
            </w:r>
          </w:p>
        </w:tc>
        <w:tc>
          <w:tcPr>
            <w:tcW w:w="1625" w:type="dxa"/>
            <w:tcBorders>
              <w:bottom w:val="single" w:color="auto" w:sz="4" w:space="0"/>
            </w:tcBorders>
            <w:vAlign w:val="center"/>
          </w:tcPr>
          <w:p>
            <w:pPr>
              <w:rPr>
                <w:rFonts w:eastAsia="仿宋_GB2312"/>
                <w:sz w:val="24"/>
              </w:rPr>
            </w:pPr>
            <w:r>
              <w:rPr>
                <w:rFonts w:hint="eastAsia" w:eastAsia="仿宋_GB2312"/>
                <w:sz w:val="24"/>
              </w:rPr>
              <w:t>市财政</w:t>
            </w:r>
          </w:p>
        </w:tc>
        <w:tc>
          <w:tcPr>
            <w:tcW w:w="547"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49" w:type="dxa"/>
            <w:tcBorders>
              <w:bottom w:val="single" w:color="auto" w:sz="4" w:space="0"/>
            </w:tcBorders>
            <w:vAlign w:val="center"/>
          </w:tcPr>
          <w:p>
            <w:pPr>
              <w:rPr>
                <w:rFonts w:eastAsia="仿宋_GB2312"/>
                <w:sz w:val="24"/>
              </w:rPr>
            </w:pPr>
          </w:p>
        </w:tc>
        <w:tc>
          <w:tcPr>
            <w:tcW w:w="1772"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52" w:type="dxa"/>
            <w:gridSpan w:val="2"/>
            <w:tcBorders>
              <w:bottom w:val="single" w:color="auto" w:sz="4" w:space="0"/>
            </w:tcBorders>
            <w:vAlign w:val="center"/>
          </w:tcPr>
          <w:p>
            <w:pPr>
              <w:rPr>
                <w:rFonts w:eastAsia="仿宋_GB2312"/>
                <w:sz w:val="24"/>
              </w:rPr>
            </w:pPr>
          </w:p>
        </w:tc>
        <w:tc>
          <w:tcPr>
            <w:tcW w:w="1625"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547"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49" w:type="dxa"/>
            <w:tcBorders>
              <w:bottom w:val="single" w:color="auto" w:sz="4" w:space="0"/>
            </w:tcBorders>
            <w:vAlign w:val="center"/>
          </w:tcPr>
          <w:p>
            <w:pPr>
              <w:rPr>
                <w:rFonts w:eastAsia="仿宋_GB2312"/>
                <w:sz w:val="24"/>
              </w:rPr>
            </w:pPr>
          </w:p>
        </w:tc>
        <w:tc>
          <w:tcPr>
            <w:tcW w:w="1772"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52" w:type="dxa"/>
            <w:gridSpan w:val="2"/>
            <w:tcBorders>
              <w:bottom w:val="single" w:color="auto" w:sz="4" w:space="0"/>
            </w:tcBorders>
            <w:vAlign w:val="center"/>
          </w:tcPr>
          <w:p>
            <w:pPr>
              <w:rPr>
                <w:rFonts w:eastAsia="仿宋_GB2312"/>
                <w:sz w:val="24"/>
              </w:rPr>
            </w:pPr>
          </w:p>
        </w:tc>
        <w:tc>
          <w:tcPr>
            <w:tcW w:w="1625" w:type="dxa"/>
            <w:tcBorders>
              <w:bottom w:val="single" w:color="auto" w:sz="4" w:space="0"/>
            </w:tcBorders>
            <w:vAlign w:val="center"/>
          </w:tcPr>
          <w:p>
            <w:pPr>
              <w:rPr>
                <w:rFonts w:eastAsia="仿宋_GB2312"/>
                <w:sz w:val="24"/>
              </w:rPr>
            </w:pPr>
            <w:r>
              <w:rPr>
                <w:rFonts w:hint="eastAsia" w:eastAsia="仿宋_GB2312"/>
                <w:sz w:val="24"/>
              </w:rPr>
              <w:t>其它</w:t>
            </w:r>
          </w:p>
        </w:tc>
        <w:tc>
          <w:tcPr>
            <w:tcW w:w="547"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794"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410" w:type="dxa"/>
            <w:gridSpan w:val="3"/>
            <w:tcBorders>
              <w:bottom w:val="single" w:color="auto" w:sz="4" w:space="0"/>
            </w:tcBorders>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手续费</w:t>
            </w:r>
          </w:p>
        </w:tc>
        <w:tc>
          <w:tcPr>
            <w:tcW w:w="1794" w:type="dxa"/>
            <w:gridSpan w:val="2"/>
            <w:tcBorders>
              <w:bottom w:val="single" w:color="auto" w:sz="4" w:space="0"/>
            </w:tcBorders>
            <w:vAlign w:val="center"/>
          </w:tcPr>
          <w:p>
            <w:pPr>
              <w:keepNext w:val="0"/>
              <w:keepLines w:val="0"/>
              <w:widowControl/>
              <w:suppressLineNumbers w:val="0"/>
              <w:jc w:val="center"/>
              <w:textAlignment w:val="bottom"/>
              <w:rPr>
                <w:rFonts w:hint="default" w:ascii="Arial" w:hAnsi="Arial"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r>
              <w:rPr>
                <w:rFonts w:hint="eastAsia" w:ascii="Arial" w:hAnsi="Arial" w:cs="Arial"/>
                <w:i w:val="0"/>
                <w:iCs w:val="0"/>
                <w:color w:val="000000"/>
                <w:kern w:val="0"/>
                <w:sz w:val="20"/>
                <w:szCs w:val="20"/>
                <w:u w:val="none"/>
                <w:lang w:val="en-US" w:eastAsia="zh-CN" w:bidi="ar"/>
              </w:rPr>
              <w:t>00000.00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12月23号 、63号</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hint="default" w:eastAsia="仿宋_GB2312"/>
                <w:sz w:val="24"/>
                <w:lang w:val="en-US" w:eastAsia="zh-CN"/>
              </w:rPr>
            </w:pPr>
          </w:p>
        </w:tc>
        <w:tc>
          <w:tcPr>
            <w:tcW w:w="1794" w:type="dxa"/>
            <w:gridSpan w:val="2"/>
            <w:tcBorders>
              <w:bottom w:val="single" w:color="auto" w:sz="4" w:space="0"/>
            </w:tcBorders>
            <w:vAlign w:val="center"/>
          </w:tcPr>
          <w:p>
            <w:pPr>
              <w:jc w:val="both"/>
              <w:rPr>
                <w:rFonts w:hint="default" w:eastAsia="仿宋_GB2312"/>
                <w:sz w:val="24"/>
                <w:lang w:val="en-US" w:eastAsia="zh-CN"/>
              </w:rPr>
            </w:pPr>
          </w:p>
        </w:tc>
        <w:tc>
          <w:tcPr>
            <w:tcW w:w="2595" w:type="dxa"/>
            <w:gridSpan w:val="6"/>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eastAsia="仿宋_GB2312"/>
                <w:sz w:val="24"/>
              </w:rPr>
            </w:pPr>
          </w:p>
        </w:tc>
        <w:tc>
          <w:tcPr>
            <w:tcW w:w="1794"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eastAsia="仿宋_GB2312"/>
                <w:sz w:val="24"/>
              </w:rPr>
            </w:pPr>
          </w:p>
        </w:tc>
        <w:tc>
          <w:tcPr>
            <w:tcW w:w="1794"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eastAsia="仿宋_GB2312"/>
                <w:sz w:val="24"/>
              </w:rPr>
            </w:pPr>
          </w:p>
        </w:tc>
        <w:tc>
          <w:tcPr>
            <w:tcW w:w="1794"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eastAsia="仿宋_GB2312"/>
                <w:sz w:val="24"/>
              </w:rPr>
            </w:pPr>
          </w:p>
        </w:tc>
        <w:tc>
          <w:tcPr>
            <w:tcW w:w="1794"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eastAsia="仿宋_GB2312"/>
                <w:sz w:val="24"/>
              </w:rPr>
            </w:pPr>
          </w:p>
        </w:tc>
        <w:tc>
          <w:tcPr>
            <w:tcW w:w="1794"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794"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600000.00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numPr>
                <w:ilvl w:val="0"/>
                <w:numId w:val="0"/>
              </w:numPr>
              <w:spacing w:line="400" w:lineRule="exact"/>
              <w:jc w:val="left"/>
              <w:rPr>
                <w:rFonts w:eastAsia="仿宋_GB2312"/>
                <w:b/>
                <w:sz w:val="24"/>
              </w:rPr>
            </w:pPr>
            <w:r>
              <w:rPr>
                <w:rFonts w:hint="eastAsia" w:ascii="仿宋_GB2312" w:hAnsi="仿宋_GB2312" w:eastAsia="仿宋_GB2312" w:cs="仿宋_GB2312"/>
                <w:i w:val="0"/>
                <w:iCs w:val="0"/>
                <w:color w:val="000000"/>
                <w:sz w:val="20"/>
                <w:szCs w:val="20"/>
                <w:u w:val="none"/>
              </w:rPr>
              <w:t>加强全市高中各年级教学质量的研究与监控，促进各年级教学的有效性和针对性，特别是为新高考学生选课走班提供参考。通过教学质量检测，发现薄弱环节，及时解决问题。</w:t>
            </w:r>
          </w:p>
        </w:tc>
        <w:tc>
          <w:tcPr>
            <w:tcW w:w="2783" w:type="dxa"/>
            <w:gridSpan w:val="3"/>
            <w:tcBorders>
              <w:bottom w:val="single" w:color="auto" w:sz="4" w:space="0"/>
            </w:tcBorders>
            <w:vAlign w:val="center"/>
          </w:tcPr>
          <w:p>
            <w:pPr>
              <w:numPr>
                <w:ilvl w:val="0"/>
                <w:numId w:val="2"/>
              </w:numPr>
              <w:spacing w:line="400" w:lineRule="exact"/>
              <w:jc w:val="left"/>
              <w:rPr>
                <w:rFonts w:hint="eastAsia" w:eastAsia="仿宋_GB2312"/>
                <w:sz w:val="24"/>
              </w:rPr>
            </w:pPr>
            <w:r>
              <w:rPr>
                <w:rFonts w:hint="eastAsia" w:eastAsia="仿宋_GB2312"/>
                <w:sz w:val="24"/>
              </w:rPr>
              <w:t>组织202</w:t>
            </w:r>
            <w:r>
              <w:rPr>
                <w:rFonts w:hint="eastAsia" w:eastAsia="仿宋_GB2312"/>
                <w:sz w:val="24"/>
                <w:lang w:val="en-US" w:eastAsia="zh-CN"/>
              </w:rPr>
              <w:t>1</w:t>
            </w:r>
            <w:r>
              <w:rPr>
                <w:rFonts w:hint="eastAsia" w:eastAsia="仿宋_GB2312"/>
                <w:sz w:val="24"/>
              </w:rPr>
              <w:t>年全市高三年级三次模考。</w:t>
            </w:r>
          </w:p>
          <w:p>
            <w:pPr>
              <w:jc w:val="left"/>
              <w:rPr>
                <w:rFonts w:hint="eastAsia" w:eastAsia="仿宋_GB2312"/>
                <w:b/>
                <w:sz w:val="24"/>
                <w:lang w:eastAsia="zh-CN"/>
              </w:rPr>
            </w:pPr>
            <w:r>
              <w:rPr>
                <w:rFonts w:hint="eastAsia" w:eastAsia="仿宋_GB2312"/>
                <w:sz w:val="24"/>
              </w:rPr>
              <w:t>2.组织202</w:t>
            </w:r>
            <w:r>
              <w:rPr>
                <w:rFonts w:hint="eastAsia" w:eastAsia="仿宋_GB2312"/>
                <w:sz w:val="24"/>
                <w:lang w:val="en-US" w:eastAsia="zh-CN"/>
              </w:rPr>
              <w:t>1</w:t>
            </w:r>
            <w:r>
              <w:rPr>
                <w:rFonts w:hint="eastAsia" w:eastAsia="仿宋_GB2312"/>
                <w:sz w:val="24"/>
              </w:rPr>
              <w:t>年全市高一、高二4次期末质量监测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38" w:type="dxa"/>
            <w:gridSpan w:val="2"/>
            <w:vAlign w:val="center"/>
          </w:tcPr>
          <w:p>
            <w:pPr>
              <w:jc w:val="center"/>
              <w:rPr>
                <w:rFonts w:eastAsia="仿宋_GB2312"/>
                <w:sz w:val="24"/>
              </w:rPr>
            </w:pPr>
            <w:r>
              <w:rPr>
                <w:rFonts w:hint="eastAsia" w:eastAsia="仿宋_GB2312"/>
                <w:sz w:val="24"/>
              </w:rPr>
              <w:t>一级指标</w:t>
            </w:r>
          </w:p>
        </w:tc>
        <w:tc>
          <w:tcPr>
            <w:tcW w:w="17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restart"/>
            <w:vAlign w:val="center"/>
          </w:tcPr>
          <w:p>
            <w:pPr>
              <w:jc w:val="center"/>
              <w:rPr>
                <w:rFonts w:eastAsia="仿宋_GB2312"/>
                <w:sz w:val="24"/>
              </w:rPr>
            </w:pPr>
            <w:r>
              <w:rPr>
                <w:rFonts w:hint="eastAsia" w:eastAsia="仿宋_GB2312"/>
                <w:sz w:val="24"/>
              </w:rPr>
              <w:t>项目产出指标</w:t>
            </w: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仿宋_GB2312"/>
                <w:sz w:val="32"/>
                <w:szCs w:val="32"/>
                <w:lang w:val="en-US" w:eastAsia="zh-CN"/>
              </w:rPr>
            </w:pPr>
            <w:r>
              <w:rPr>
                <w:rFonts w:hint="eastAsia" w:ascii="宋体" w:hAnsi="宋体" w:eastAsia="宋体" w:cs="宋体"/>
                <w:i w:val="0"/>
                <w:iCs w:val="0"/>
                <w:color w:val="000000"/>
                <w:kern w:val="0"/>
                <w:sz w:val="15"/>
                <w:szCs w:val="15"/>
                <w:u w:val="none"/>
                <w:lang w:val="en-US" w:eastAsia="zh-CN" w:bidi="ar"/>
              </w:rPr>
              <w:t>完成高三模考</w:t>
            </w:r>
          </w:p>
        </w:tc>
        <w:tc>
          <w:tcPr>
            <w:tcW w:w="1220"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1"/>
                <w:szCs w:val="21"/>
                <w:u w:val="none"/>
                <w:lang w:val="en-US" w:eastAsia="zh-CN" w:bidi="ar"/>
              </w:rPr>
              <w:t>3次</w:t>
            </w:r>
          </w:p>
        </w:tc>
        <w:tc>
          <w:tcPr>
            <w:tcW w:w="2783"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hint="eastAsia" w:eastAsia="仿宋_GB2312"/>
                <w:sz w:val="24"/>
              </w:rPr>
            </w:pPr>
          </w:p>
        </w:tc>
        <w:tc>
          <w:tcPr>
            <w:tcW w:w="1794" w:type="dxa"/>
            <w:gridSpan w:val="2"/>
            <w:vMerge w:val="continue"/>
            <w:vAlign w:val="center"/>
          </w:tcPr>
          <w:p>
            <w:pPr>
              <w:spacing w:line="360" w:lineRule="exact"/>
              <w:jc w:val="center"/>
              <w:rPr>
                <w:rFonts w:hint="eastAsia" w:eastAsia="仿宋_GB2312"/>
                <w:sz w:val="24"/>
              </w:rPr>
            </w:pP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仿宋_GB2312"/>
                <w:sz w:val="32"/>
                <w:szCs w:val="32"/>
                <w:lang w:val="en-US" w:eastAsia="zh-CN"/>
              </w:rPr>
            </w:pPr>
            <w:r>
              <w:rPr>
                <w:rFonts w:hint="eastAsia" w:ascii="宋体" w:hAnsi="宋体" w:eastAsia="宋体" w:cs="宋体"/>
                <w:i w:val="0"/>
                <w:iCs w:val="0"/>
                <w:color w:val="000000"/>
                <w:kern w:val="0"/>
                <w:sz w:val="15"/>
                <w:szCs w:val="15"/>
                <w:u w:val="none"/>
                <w:lang w:val="en-US" w:eastAsia="zh-CN" w:bidi="ar"/>
              </w:rPr>
              <w:t>完成高一监测</w:t>
            </w:r>
          </w:p>
        </w:tc>
        <w:tc>
          <w:tcPr>
            <w:tcW w:w="1220"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仿宋_GB2312"/>
                <w:sz w:val="21"/>
                <w:szCs w:val="21"/>
                <w:lang w:val="en-US" w:eastAsia="zh-CN"/>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次</w:t>
            </w:r>
          </w:p>
        </w:tc>
        <w:tc>
          <w:tcPr>
            <w:tcW w:w="2783"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kern w:val="2"/>
                <w:sz w:val="21"/>
                <w:szCs w:val="21"/>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eastAsia="仿宋_GB2312"/>
                <w:sz w:val="32"/>
                <w:szCs w:val="32"/>
              </w:rPr>
            </w:pPr>
            <w:r>
              <w:rPr>
                <w:rFonts w:hint="eastAsia" w:ascii="宋体" w:hAnsi="宋体" w:eastAsia="宋体" w:cs="宋体"/>
                <w:i w:val="0"/>
                <w:iCs w:val="0"/>
                <w:color w:val="000000"/>
                <w:kern w:val="0"/>
                <w:sz w:val="15"/>
                <w:szCs w:val="15"/>
                <w:u w:val="none"/>
                <w:lang w:val="en-US" w:eastAsia="zh-CN" w:bidi="ar"/>
              </w:rPr>
              <w:t>完成高二监测</w:t>
            </w:r>
          </w:p>
        </w:tc>
        <w:tc>
          <w:tcPr>
            <w:tcW w:w="1220"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eastAsia="仿宋_GB2312"/>
                <w:sz w:val="21"/>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次</w:t>
            </w:r>
          </w:p>
        </w:tc>
        <w:tc>
          <w:tcPr>
            <w:tcW w:w="2783"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eastAsia="仿宋_GB2312" w:cs="Times New Roman"/>
                <w:kern w:val="2"/>
                <w:sz w:val="21"/>
                <w:szCs w:val="21"/>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eastAsia="仿宋_GB2312"/>
                <w:sz w:val="32"/>
                <w:szCs w:val="32"/>
              </w:rPr>
            </w:pPr>
            <w:r>
              <w:rPr>
                <w:rFonts w:hint="eastAsia" w:ascii="宋体" w:hAnsi="宋体" w:eastAsia="宋体" w:cs="宋体"/>
                <w:i w:val="0"/>
                <w:iCs w:val="0"/>
                <w:color w:val="000000"/>
                <w:kern w:val="0"/>
                <w:sz w:val="15"/>
                <w:szCs w:val="15"/>
                <w:u w:val="none"/>
                <w:lang w:val="en-US" w:eastAsia="zh-CN" w:bidi="ar"/>
              </w:rPr>
              <w:t>高考成绩正增长</w:t>
            </w:r>
          </w:p>
        </w:tc>
        <w:tc>
          <w:tcPr>
            <w:tcW w:w="1220"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eastAsia="仿宋_GB2312"/>
                <w:sz w:val="32"/>
                <w:szCs w:val="32"/>
              </w:rPr>
            </w:pPr>
            <w:r>
              <w:rPr>
                <w:rFonts w:hint="eastAsia" w:ascii="宋体" w:hAnsi="宋体" w:eastAsia="宋体" w:cs="宋体"/>
                <w:i w:val="0"/>
                <w:iCs w:val="0"/>
                <w:color w:val="000000"/>
                <w:kern w:val="0"/>
                <w:sz w:val="15"/>
                <w:szCs w:val="15"/>
                <w:u w:val="none"/>
                <w:lang w:val="en-US" w:eastAsia="zh-CN" w:bidi="ar"/>
              </w:rPr>
              <w:t>全省前</w:t>
            </w:r>
            <w:r>
              <w:rPr>
                <w:rFonts w:hint="eastAsia" w:ascii="宋体" w:hAnsi="宋体" w:cs="宋体"/>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名</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第五名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eastAsia="仿宋_GB2312"/>
                <w:sz w:val="32"/>
                <w:szCs w:val="32"/>
                <w:lang w:val="en-US" w:eastAsia="zh-CN"/>
              </w:rPr>
            </w:pPr>
            <w:r>
              <w:rPr>
                <w:rFonts w:hint="eastAsia" w:ascii="宋体" w:hAnsi="宋体" w:eastAsia="宋体" w:cs="宋体"/>
                <w:i w:val="0"/>
                <w:iCs w:val="0"/>
                <w:color w:val="000000"/>
                <w:kern w:val="0"/>
                <w:sz w:val="15"/>
                <w:szCs w:val="15"/>
                <w:u w:val="none"/>
                <w:lang w:val="en-US" w:eastAsia="zh-CN" w:bidi="ar"/>
              </w:rPr>
              <w:t>完成学年度监测任务</w:t>
            </w:r>
          </w:p>
        </w:tc>
        <w:tc>
          <w:tcPr>
            <w:tcW w:w="1220" w:type="dxa"/>
            <w:gridSpan w:val="3"/>
            <w:tcBorders>
              <w:bottom w:val="single" w:color="auto" w:sz="4" w:space="0"/>
            </w:tcBorders>
            <w:vAlign w:val="center"/>
          </w:tcPr>
          <w:p>
            <w:pPr>
              <w:keepNext w:val="0"/>
              <w:keepLines w:val="0"/>
              <w:widowControl/>
              <w:suppressLineNumbers w:val="0"/>
              <w:jc w:val="center"/>
              <w:textAlignment w:val="center"/>
              <w:rPr>
                <w:rFonts w:hint="default" w:eastAsia="仿宋_GB2312"/>
                <w:sz w:val="32"/>
                <w:szCs w:val="32"/>
                <w:lang w:val="en-US" w:eastAsia="zh-CN"/>
              </w:rPr>
            </w:pPr>
            <w:r>
              <w:rPr>
                <w:rFonts w:hint="eastAsia" w:ascii="宋体" w:hAnsi="宋体" w:eastAsia="宋体" w:cs="宋体"/>
                <w:i w:val="0"/>
                <w:iCs w:val="0"/>
                <w:color w:val="000000"/>
                <w:sz w:val="15"/>
                <w:szCs w:val="15"/>
                <w:u w:val="none"/>
                <w:lang w:val="en-US" w:eastAsia="zh-CN"/>
              </w:rPr>
              <w:t>202</w:t>
            </w:r>
            <w:r>
              <w:rPr>
                <w:rFonts w:hint="eastAsia" w:ascii="宋体" w:hAnsi="宋体" w:cs="宋体"/>
                <w:i w:val="0"/>
                <w:iCs w:val="0"/>
                <w:color w:val="000000"/>
                <w:sz w:val="15"/>
                <w:szCs w:val="15"/>
                <w:u w:val="none"/>
                <w:lang w:val="en-US" w:eastAsia="zh-CN"/>
              </w:rPr>
              <w:t>1</w:t>
            </w:r>
            <w:r>
              <w:rPr>
                <w:rFonts w:hint="eastAsia" w:ascii="宋体" w:hAnsi="宋体" w:eastAsia="宋体" w:cs="宋体"/>
                <w:i w:val="0"/>
                <w:iCs w:val="0"/>
                <w:color w:val="000000"/>
                <w:sz w:val="15"/>
                <w:szCs w:val="15"/>
                <w:u w:val="none"/>
                <w:lang w:val="en-US" w:eastAsia="zh-CN"/>
              </w:rPr>
              <w:t>.12.31</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keepNext w:val="0"/>
              <w:keepLines w:val="0"/>
              <w:widowControl/>
              <w:suppressLineNumbers w:val="0"/>
              <w:jc w:val="center"/>
              <w:textAlignment w:val="center"/>
              <w:rPr>
                <w:rFonts w:hint="default" w:eastAsia="仿宋_GB2312"/>
                <w:sz w:val="36"/>
                <w:szCs w:val="36"/>
                <w:lang w:val="en-US" w:eastAsia="zh-CN"/>
              </w:rPr>
            </w:pPr>
            <w:r>
              <w:rPr>
                <w:rFonts w:hint="eastAsia" w:ascii="宋体" w:hAnsi="宋体" w:eastAsia="宋体" w:cs="宋体"/>
                <w:i w:val="0"/>
                <w:iCs w:val="0"/>
                <w:color w:val="000000"/>
                <w:kern w:val="0"/>
                <w:sz w:val="16"/>
                <w:szCs w:val="16"/>
                <w:u w:val="none"/>
                <w:lang w:val="en-US" w:eastAsia="zh-CN" w:bidi="ar"/>
              </w:rPr>
              <w:t>控制在预算内</w:t>
            </w:r>
          </w:p>
        </w:tc>
        <w:tc>
          <w:tcPr>
            <w:tcW w:w="1220" w:type="dxa"/>
            <w:gridSpan w:val="3"/>
            <w:tcBorders>
              <w:bottom w:val="single" w:color="auto" w:sz="4" w:space="0"/>
            </w:tcBorders>
            <w:vAlign w:val="center"/>
          </w:tcPr>
          <w:p>
            <w:pPr>
              <w:keepNext w:val="0"/>
              <w:keepLines w:val="0"/>
              <w:widowControl/>
              <w:suppressLineNumbers w:val="0"/>
              <w:jc w:val="center"/>
              <w:textAlignment w:val="center"/>
              <w:rPr>
                <w:rFonts w:eastAsia="仿宋_GB2312"/>
                <w:sz w:val="36"/>
                <w:szCs w:val="36"/>
              </w:rPr>
            </w:pPr>
            <w:r>
              <w:rPr>
                <w:rFonts w:hint="eastAsia" w:ascii="宋体" w:hAnsi="宋体" w:eastAsia="宋体" w:cs="宋体"/>
                <w:i w:val="0"/>
                <w:iCs w:val="0"/>
                <w:color w:val="000000"/>
                <w:kern w:val="0"/>
                <w:sz w:val="16"/>
                <w:szCs w:val="16"/>
                <w:u w:val="none"/>
                <w:lang w:val="en-US" w:eastAsia="zh-CN" w:bidi="ar"/>
              </w:rPr>
              <w:t>≤</w:t>
            </w:r>
            <w:r>
              <w:rPr>
                <w:rFonts w:hint="eastAsia" w:ascii="宋体" w:hAnsi="宋体" w:cs="宋体"/>
                <w:i w:val="0"/>
                <w:iCs w:val="0"/>
                <w:color w:val="000000"/>
                <w:kern w:val="0"/>
                <w:sz w:val="16"/>
                <w:szCs w:val="16"/>
                <w:u w:val="none"/>
                <w:lang w:val="en-US" w:eastAsia="zh-CN" w:bidi="ar"/>
              </w:rPr>
              <w:t>6</w:t>
            </w:r>
            <w:r>
              <w:rPr>
                <w:rFonts w:hint="eastAsia" w:ascii="宋体" w:hAnsi="宋体" w:eastAsia="宋体" w:cs="宋体"/>
                <w:i w:val="0"/>
                <w:iCs w:val="0"/>
                <w:color w:val="000000"/>
                <w:kern w:val="0"/>
                <w:sz w:val="16"/>
                <w:szCs w:val="16"/>
                <w:u w:val="none"/>
                <w:lang w:val="en-US" w:eastAsia="zh-CN" w:bidi="ar"/>
              </w:rPr>
              <w:t>0万元</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按预算完成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rPr>
                <w:rFonts w:hint="default" w:eastAsia="仿宋_GB2312"/>
                <w:sz w:val="24"/>
                <w:lang w:val="en-US" w:eastAsia="zh-CN"/>
              </w:rPr>
            </w:pPr>
          </w:p>
        </w:tc>
        <w:tc>
          <w:tcPr>
            <w:tcW w:w="1220" w:type="dxa"/>
            <w:gridSpan w:val="3"/>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restart"/>
            <w:vAlign w:val="center"/>
          </w:tcPr>
          <w:p>
            <w:pPr>
              <w:jc w:val="center"/>
              <w:rPr>
                <w:rFonts w:eastAsia="仿宋_GB2312"/>
                <w:sz w:val="24"/>
              </w:rPr>
            </w:pPr>
            <w:r>
              <w:rPr>
                <w:rFonts w:hint="eastAsia" w:eastAsia="仿宋_GB2312"/>
                <w:sz w:val="24"/>
              </w:rPr>
              <w:t>项目效益指标</w:t>
            </w: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无</w:t>
            </w: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仿宋_GB2312"/>
                <w:sz w:val="40"/>
                <w:szCs w:val="40"/>
                <w:lang w:val="en-US" w:eastAsia="zh-CN"/>
              </w:rPr>
            </w:pPr>
            <w:r>
              <w:rPr>
                <w:rFonts w:hint="default" w:ascii="宋体" w:hAnsi="宋体" w:eastAsia="宋体" w:cs="宋体"/>
                <w:i w:val="0"/>
                <w:iCs w:val="0"/>
                <w:color w:val="000000"/>
                <w:kern w:val="0"/>
                <w:sz w:val="18"/>
                <w:szCs w:val="18"/>
                <w:u w:val="none"/>
                <w:lang w:val="en-US" w:eastAsia="zh-CN" w:bidi="ar"/>
              </w:rPr>
              <w:t>教学质量稳步提升</w:t>
            </w:r>
          </w:p>
        </w:tc>
        <w:tc>
          <w:tcPr>
            <w:tcW w:w="1220"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eastAsia="仿宋_GB2312"/>
                <w:sz w:val="40"/>
                <w:szCs w:val="40"/>
                <w:lang w:val="en-US" w:eastAsia="zh-CN"/>
              </w:rPr>
            </w:pPr>
            <w:r>
              <w:rPr>
                <w:rFonts w:hint="default" w:ascii="宋体" w:hAnsi="宋体" w:eastAsia="宋体" w:cs="宋体"/>
                <w:i w:val="0"/>
                <w:iCs w:val="0"/>
                <w:color w:val="000000"/>
                <w:kern w:val="0"/>
                <w:sz w:val="18"/>
                <w:szCs w:val="18"/>
                <w:u w:val="none"/>
                <w:lang w:val="en-US" w:eastAsia="zh-CN" w:bidi="ar"/>
              </w:rPr>
              <w:t>高考质量稳居省前列</w:t>
            </w:r>
          </w:p>
        </w:tc>
        <w:tc>
          <w:tcPr>
            <w:tcW w:w="278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c>
          <w:tcPr>
            <w:tcW w:w="1220"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c>
          <w:tcPr>
            <w:tcW w:w="278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c>
          <w:tcPr>
            <w:tcW w:w="1220"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c>
          <w:tcPr>
            <w:tcW w:w="278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c>
          <w:tcPr>
            <w:tcW w:w="1220"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c>
          <w:tcPr>
            <w:tcW w:w="2783" w:type="dxa"/>
            <w:gridSpan w:val="3"/>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eastAsia="仿宋_GB2312"/>
                <w:sz w:val="36"/>
                <w:szCs w:val="36"/>
                <w:lang w:val="en-US" w:eastAsia="zh-CN"/>
              </w:rPr>
            </w:pPr>
            <w:r>
              <w:rPr>
                <w:rFonts w:hint="eastAsia" w:ascii="宋体" w:hAnsi="宋体" w:eastAsia="宋体" w:cs="宋体"/>
                <w:i w:val="0"/>
                <w:iCs w:val="0"/>
                <w:color w:val="000000"/>
                <w:kern w:val="0"/>
                <w:sz w:val="16"/>
                <w:szCs w:val="16"/>
                <w:u w:val="none"/>
                <w:lang w:val="en-US" w:eastAsia="zh-CN" w:bidi="ar"/>
              </w:rPr>
              <w:t>教职工满意度</w:t>
            </w:r>
          </w:p>
        </w:tc>
        <w:tc>
          <w:tcPr>
            <w:tcW w:w="1220"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eastAsia="仿宋_GB2312"/>
                <w:sz w:val="36"/>
                <w:szCs w:val="36"/>
              </w:rPr>
            </w:pPr>
            <w:r>
              <w:rPr>
                <w:rFonts w:hint="eastAsia" w:ascii="宋体" w:hAnsi="宋体" w:eastAsia="宋体" w:cs="宋体"/>
                <w:i w:val="0"/>
                <w:iCs w:val="0"/>
                <w:color w:val="000000"/>
                <w:kern w:val="0"/>
                <w:sz w:val="16"/>
                <w:szCs w:val="16"/>
                <w:u w:val="none"/>
                <w:lang w:val="en-US" w:eastAsia="zh-CN" w:bidi="ar"/>
              </w:rPr>
              <w:t>100%</w:t>
            </w:r>
          </w:p>
        </w:tc>
        <w:tc>
          <w:tcPr>
            <w:tcW w:w="278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eastAsia="仿宋_GB2312"/>
                <w:sz w:val="36"/>
                <w:szCs w:val="36"/>
                <w:lang w:val="en-US" w:eastAsia="zh-CN"/>
              </w:rPr>
            </w:pPr>
            <w:r>
              <w:rPr>
                <w:rFonts w:hint="eastAsia" w:ascii="仿宋_GB2312" w:hAnsi="仿宋_GB2312" w:eastAsia="仿宋_GB2312" w:cs="仿宋_GB2312"/>
                <w:i w:val="0"/>
                <w:iCs w:val="0"/>
                <w:color w:val="000000"/>
                <w:sz w:val="18"/>
                <w:szCs w:val="18"/>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938" w:type="dxa"/>
            <w:gridSpan w:val="2"/>
            <w:vMerge w:val="continue"/>
            <w:vAlign w:val="center"/>
          </w:tcPr>
          <w:p>
            <w:pPr>
              <w:jc w:val="center"/>
              <w:rPr>
                <w:rFonts w:eastAsia="仿宋_GB2312"/>
                <w:sz w:val="24"/>
              </w:rPr>
            </w:pPr>
          </w:p>
        </w:tc>
        <w:tc>
          <w:tcPr>
            <w:tcW w:w="1794"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410"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172"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410"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172" w:type="dxa"/>
            <w:gridSpan w:val="11"/>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良好</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10" w:type="dxa"/>
            <w:gridSpan w:val="3"/>
            <w:vAlign w:val="center"/>
          </w:tcPr>
          <w:p>
            <w:pPr>
              <w:jc w:val="center"/>
              <w:rPr>
                <w:rFonts w:eastAsia="仿宋_GB2312"/>
                <w:sz w:val="24"/>
              </w:rPr>
            </w:pPr>
            <w:r>
              <w:rPr>
                <w:rFonts w:hint="eastAsia" w:eastAsia="仿宋_GB2312"/>
                <w:sz w:val="24"/>
              </w:rPr>
              <w:t>姓名</w:t>
            </w:r>
          </w:p>
        </w:tc>
        <w:tc>
          <w:tcPr>
            <w:tcW w:w="2185"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10" w:type="dxa"/>
            <w:gridSpan w:val="3"/>
            <w:vAlign w:val="center"/>
          </w:tcPr>
          <w:p>
            <w:pPr>
              <w:jc w:val="center"/>
              <w:rPr>
                <w:rFonts w:hint="default" w:eastAsia="仿宋_GB2312"/>
                <w:sz w:val="24"/>
                <w:lang w:val="en-US" w:eastAsia="zh-CN"/>
              </w:rPr>
            </w:pPr>
            <w:r>
              <w:rPr>
                <w:rFonts w:hint="eastAsia" w:eastAsia="仿宋_GB2312"/>
                <w:sz w:val="24"/>
                <w:lang w:val="en-US" w:eastAsia="zh-CN"/>
              </w:rPr>
              <w:t>李伟灵</w:t>
            </w:r>
          </w:p>
        </w:tc>
        <w:tc>
          <w:tcPr>
            <w:tcW w:w="2185" w:type="dxa"/>
            <w:gridSpan w:val="3"/>
            <w:vAlign w:val="center"/>
          </w:tcPr>
          <w:p>
            <w:pPr>
              <w:jc w:val="center"/>
              <w:rPr>
                <w:rFonts w:hint="default" w:eastAsia="仿宋_GB2312"/>
                <w:sz w:val="24"/>
                <w:lang w:val="en-US" w:eastAsia="zh-CN"/>
              </w:rPr>
            </w:pPr>
            <w:r>
              <w:rPr>
                <w:rFonts w:hint="eastAsia" w:eastAsia="仿宋_GB2312"/>
                <w:sz w:val="24"/>
                <w:lang w:val="en-US" w:eastAsia="zh-CN"/>
              </w:rPr>
              <w:t>院长</w:t>
            </w:r>
          </w:p>
        </w:tc>
        <w:tc>
          <w:tcPr>
            <w:tcW w:w="2204" w:type="dxa"/>
            <w:gridSpan w:val="5"/>
            <w:vAlign w:val="center"/>
          </w:tcPr>
          <w:p>
            <w:pPr>
              <w:rPr>
                <w:rFonts w:hint="eastAsia" w:eastAsia="仿宋_GB2312"/>
                <w:sz w:val="24"/>
                <w:lang w:eastAsia="zh-CN"/>
              </w:rPr>
            </w:pPr>
            <w:r>
              <w:rPr>
                <w:rFonts w:hint="eastAsia" w:eastAsia="仿宋_GB2312"/>
                <w:sz w:val="24"/>
                <w:lang w:eastAsia="zh-CN"/>
              </w:rPr>
              <w:t>岳阳市教育科学技术研究院</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10" w:type="dxa"/>
            <w:gridSpan w:val="3"/>
            <w:vAlign w:val="center"/>
          </w:tcPr>
          <w:p>
            <w:pPr>
              <w:jc w:val="center"/>
              <w:rPr>
                <w:rFonts w:hint="eastAsia" w:eastAsia="仿宋_GB2312"/>
                <w:sz w:val="24"/>
                <w:lang w:eastAsia="zh-CN"/>
              </w:rPr>
            </w:pPr>
            <w:r>
              <w:rPr>
                <w:rFonts w:hint="eastAsia" w:eastAsia="仿宋_GB2312"/>
                <w:sz w:val="24"/>
                <w:lang w:eastAsia="zh-CN"/>
              </w:rPr>
              <w:t>朱理明</w:t>
            </w:r>
          </w:p>
        </w:tc>
        <w:tc>
          <w:tcPr>
            <w:tcW w:w="2185" w:type="dxa"/>
            <w:gridSpan w:val="3"/>
            <w:vAlign w:val="center"/>
          </w:tcPr>
          <w:p>
            <w:pPr>
              <w:jc w:val="center"/>
              <w:rPr>
                <w:rFonts w:hint="eastAsia" w:eastAsia="仿宋_GB2312"/>
                <w:sz w:val="24"/>
                <w:lang w:eastAsia="zh-CN"/>
              </w:rPr>
            </w:pPr>
            <w:r>
              <w:rPr>
                <w:rFonts w:hint="eastAsia" w:eastAsia="仿宋_GB2312"/>
                <w:sz w:val="24"/>
                <w:lang w:eastAsia="zh-CN"/>
              </w:rPr>
              <w:t>副院长</w:t>
            </w:r>
          </w:p>
        </w:tc>
        <w:tc>
          <w:tcPr>
            <w:tcW w:w="2204" w:type="dxa"/>
            <w:gridSpan w:val="5"/>
            <w:vAlign w:val="center"/>
          </w:tcPr>
          <w:p>
            <w:pPr>
              <w:rPr>
                <w:rFonts w:eastAsia="仿宋_GB2312"/>
                <w:sz w:val="24"/>
              </w:rPr>
            </w:pPr>
            <w:r>
              <w:rPr>
                <w:rFonts w:hint="eastAsia" w:eastAsia="仿宋_GB2312"/>
                <w:sz w:val="24"/>
                <w:lang w:eastAsia="zh-CN"/>
              </w:rPr>
              <w:t>岳阳市教育科学技术研究院</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10" w:type="dxa"/>
            <w:gridSpan w:val="3"/>
            <w:vAlign w:val="center"/>
          </w:tcPr>
          <w:p>
            <w:pPr>
              <w:jc w:val="center"/>
              <w:rPr>
                <w:rFonts w:hint="eastAsia" w:eastAsia="仿宋_GB2312"/>
                <w:sz w:val="24"/>
                <w:lang w:eastAsia="zh-CN"/>
              </w:rPr>
            </w:pPr>
            <w:r>
              <w:rPr>
                <w:rFonts w:hint="eastAsia" w:eastAsia="仿宋_GB2312"/>
                <w:sz w:val="24"/>
                <w:lang w:eastAsia="zh-CN"/>
              </w:rPr>
              <w:t>彭智友</w:t>
            </w:r>
          </w:p>
        </w:tc>
        <w:tc>
          <w:tcPr>
            <w:tcW w:w="2185" w:type="dxa"/>
            <w:gridSpan w:val="3"/>
            <w:vAlign w:val="center"/>
          </w:tcPr>
          <w:p>
            <w:pPr>
              <w:jc w:val="center"/>
              <w:rPr>
                <w:rFonts w:hint="eastAsia" w:eastAsia="仿宋_GB2312"/>
                <w:sz w:val="24"/>
                <w:lang w:eastAsia="zh-CN"/>
              </w:rPr>
            </w:pPr>
            <w:r>
              <w:rPr>
                <w:rFonts w:hint="eastAsia" w:eastAsia="仿宋_GB2312"/>
                <w:sz w:val="24"/>
                <w:lang w:eastAsia="zh-CN"/>
              </w:rPr>
              <w:t>总支纪检委员</w:t>
            </w:r>
          </w:p>
        </w:tc>
        <w:tc>
          <w:tcPr>
            <w:tcW w:w="2204" w:type="dxa"/>
            <w:gridSpan w:val="5"/>
            <w:vAlign w:val="center"/>
          </w:tcPr>
          <w:p>
            <w:pPr>
              <w:rPr>
                <w:rFonts w:eastAsia="仿宋_GB2312"/>
                <w:sz w:val="24"/>
              </w:rPr>
            </w:pPr>
            <w:r>
              <w:rPr>
                <w:rFonts w:hint="eastAsia" w:eastAsia="仿宋_GB2312"/>
                <w:sz w:val="24"/>
                <w:lang w:eastAsia="zh-CN"/>
              </w:rPr>
              <w:t>岳阳市教育科学技术研究院</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410" w:type="dxa"/>
            <w:gridSpan w:val="3"/>
            <w:vAlign w:val="center"/>
          </w:tcPr>
          <w:p>
            <w:pPr>
              <w:jc w:val="center"/>
              <w:rPr>
                <w:rFonts w:hint="eastAsia" w:eastAsia="仿宋_GB2312"/>
                <w:sz w:val="24"/>
                <w:lang w:eastAsia="zh-CN"/>
              </w:rPr>
            </w:pPr>
            <w:r>
              <w:rPr>
                <w:rFonts w:hint="eastAsia" w:eastAsia="仿宋_GB2312"/>
                <w:sz w:val="24"/>
                <w:lang w:eastAsia="zh-CN"/>
              </w:rPr>
              <w:t>余雄波</w:t>
            </w:r>
          </w:p>
        </w:tc>
        <w:tc>
          <w:tcPr>
            <w:tcW w:w="2185" w:type="dxa"/>
            <w:gridSpan w:val="3"/>
            <w:vAlign w:val="center"/>
          </w:tcPr>
          <w:p>
            <w:pPr>
              <w:jc w:val="center"/>
              <w:rPr>
                <w:rFonts w:hint="eastAsia" w:eastAsia="仿宋_GB2312"/>
                <w:sz w:val="24"/>
                <w:lang w:eastAsia="zh-CN"/>
              </w:rPr>
            </w:pPr>
            <w:r>
              <w:rPr>
                <w:rFonts w:hint="eastAsia" w:eastAsia="仿宋_GB2312"/>
                <w:sz w:val="24"/>
                <w:lang w:eastAsia="zh-CN"/>
              </w:rPr>
              <w:t>办公室主任</w:t>
            </w:r>
          </w:p>
        </w:tc>
        <w:tc>
          <w:tcPr>
            <w:tcW w:w="2204" w:type="dxa"/>
            <w:gridSpan w:val="5"/>
            <w:vAlign w:val="center"/>
          </w:tcPr>
          <w:p>
            <w:pPr>
              <w:rPr>
                <w:rFonts w:hint="eastAsia" w:eastAsia="仿宋_GB2312"/>
                <w:sz w:val="24"/>
                <w:lang w:eastAsia="zh-CN"/>
              </w:rPr>
            </w:pPr>
            <w:r>
              <w:rPr>
                <w:rFonts w:hint="eastAsia" w:eastAsia="仿宋_GB2312"/>
                <w:sz w:val="24"/>
                <w:lang w:eastAsia="zh-CN"/>
              </w:rPr>
              <w:t>岳阳市教育科学技术研究院</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（一）项目基本概况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一、项目背景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为全面落实党的教育宗旨、落实《中共中央、国务院关于加强全面深化素质教育的决定》，以《基础教育课程变革纲要（</w:t>
            </w:r>
            <w:r>
              <w:rPr>
                <w:rFonts w:hint="eastAsia" w:ascii="仿宋_GB2312" w:eastAsia="仿宋_GB2312"/>
                <w:sz w:val="30"/>
                <w:szCs w:val="30"/>
                <w:lang w:eastAsia="zh-CN"/>
              </w:rPr>
              <w:t>试行</w:t>
            </w:r>
            <w:r>
              <w:rPr>
                <w:rFonts w:hint="eastAsia" w:ascii="仿宋_GB2312" w:eastAsia="仿宋_GB2312"/>
                <w:sz w:val="30"/>
                <w:szCs w:val="30"/>
              </w:rPr>
              <w:t>）》和《教育部关于积极推进中小学评价与考试制度改革的通知》为主要根据，积极推动课程变革，全面实行能力教育</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二、项目的政府采购工作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三、项目建设工作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eastAsia="zh-CN"/>
              </w:rPr>
              <w:t>按时组织高一、高二和高三年级测试。</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lang w:eastAsia="zh-CN"/>
              </w:rPr>
              <w:t>根据质量监测目标，按实使用命题费、试卷印制费等费用，严格经费使用审批程序，确保资金使用达到预期目标。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命题要求:试题应</w:t>
            </w:r>
            <w:r>
              <w:rPr>
                <w:rFonts w:hint="eastAsia" w:ascii="仿宋_GB2312" w:hAnsi="黑体" w:eastAsia="仿宋_GB2312"/>
                <w:sz w:val="30"/>
                <w:szCs w:val="30"/>
                <w:lang w:eastAsia="zh-CN"/>
              </w:rPr>
              <w:t>具</w:t>
            </w:r>
            <w:r>
              <w:rPr>
                <w:rFonts w:hint="eastAsia" w:ascii="仿宋_GB2312" w:hAnsi="黑体" w:eastAsia="仿宋_GB2312"/>
                <w:sz w:val="30"/>
                <w:szCs w:val="30"/>
              </w:rPr>
              <w:t>有几个功能:监测教学底线完成情况，查找教与学的问题，提示教师注重某些教学内容和方法。试题既要体现基础性，又要关注发展性。严肃命题纪律，严格命题程序，避免一切可能出现的问题。试卷按照30张一本密封。</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lang w:eastAsia="zh-CN"/>
              </w:rPr>
            </w:pPr>
            <w:r>
              <w:rPr>
                <w:rFonts w:hint="eastAsia" w:ascii="仿宋_GB2312" w:hAnsi="黑体" w:eastAsia="仿宋_GB2312"/>
                <w:sz w:val="30"/>
                <w:szCs w:val="30"/>
              </w:rPr>
              <w:t>考前要求:考试当天取卷，取卷2人，教学主任带领一名教师共同取卷若有分卷，相关人员回避，严禁试题外泄</w:t>
            </w:r>
            <w:r>
              <w:rPr>
                <w:rFonts w:hint="eastAsia" w:ascii="仿宋_GB2312" w:hAnsi="黑体" w:eastAsia="仿宋_GB2312"/>
                <w:sz w:val="30"/>
                <w:szCs w:val="30"/>
                <w:lang w:eastAsia="zh-CN"/>
              </w:rPr>
              <w:t>。</w:t>
            </w:r>
            <w:r>
              <w:rPr>
                <w:rFonts w:hint="eastAsia" w:ascii="仿宋_GB2312" w:hAnsi="黑体" w:eastAsia="仿宋_GB2312"/>
                <w:sz w:val="30"/>
                <w:szCs w:val="30"/>
              </w:rPr>
              <w:t>严格组织考务，学生插花排座，监考人员当天公布。监考严格，回避热点，言明利害。学区内各校设立巡考主任，校际交流</w:t>
            </w:r>
            <w:r>
              <w:rPr>
                <w:rFonts w:hint="eastAsia" w:ascii="仿宋_GB2312" w:hAnsi="黑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lang w:eastAsia="zh-CN"/>
              </w:rPr>
            </w:pPr>
            <w:r>
              <w:rPr>
                <w:rFonts w:hint="eastAsia" w:ascii="仿宋_GB2312" w:hAnsi="黑体" w:eastAsia="仿宋_GB2312"/>
                <w:sz w:val="30"/>
                <w:szCs w:val="30"/>
              </w:rPr>
              <w:t>考试要求:严格执行考试时间段要求，不得随意提前和延后考试时间。考试期间严禁任课教师进入考场，有问题有教学主任进行更正答疑</w:t>
            </w:r>
            <w:r>
              <w:rPr>
                <w:rFonts w:hint="eastAsia" w:ascii="仿宋_GB2312" w:hAnsi="黑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lang w:eastAsia="zh-CN"/>
              </w:rPr>
            </w:pPr>
            <w:r>
              <w:rPr>
                <w:rFonts w:hint="eastAsia" w:ascii="仿宋_GB2312" w:hAnsi="黑体" w:eastAsia="仿宋_GB2312"/>
                <w:sz w:val="30"/>
                <w:szCs w:val="30"/>
                <w:lang w:eastAsia="zh-CN"/>
              </w:rPr>
              <w:t>封卷要求:每个考场独立成本订卷；考试结束当天卷子统一封存。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lang w:eastAsia="zh-CN"/>
              </w:rPr>
            </w:pPr>
            <w:r>
              <w:rPr>
                <w:rFonts w:hint="eastAsia" w:ascii="仿宋_GB2312" w:hAnsi="黑体" w:eastAsia="仿宋_GB2312"/>
                <w:sz w:val="30"/>
                <w:szCs w:val="30"/>
                <w:lang w:eastAsia="zh-CN"/>
              </w:rPr>
              <w:t>批卷要求:年段内教师互批试卷；各校领导排班巡视；教学主任分年级把关。确定批卷地点，明确批卷时间，明确批卷纪律，认真评卷。学校统计各班、各学科、各年级成绩，留存并按照规定时间上报到区教研室集中考试将针对区域整体的学习状况做以评价，全员参与，全面测评，对缺考人员，一律按照0分处理。严格组织考务，不人为制造事端。以正常的心态面对阶段教学的效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lang w:eastAsia="zh-CN"/>
              </w:rPr>
            </w:pPr>
            <w:r>
              <w:rPr>
                <w:rFonts w:hint="eastAsia" w:ascii="仿宋_GB2312" w:hAnsi="黑体" w:eastAsia="仿宋_GB2312"/>
                <w:sz w:val="30"/>
                <w:szCs w:val="30"/>
                <w:lang w:eastAsia="zh-CN"/>
              </w:rPr>
              <w:t>考试后要求:针对命题的原则和意图以及区域的答题情况作认真细致地剖析。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根据年初设定的绩效目标，项目绩效自评</w:t>
            </w:r>
            <w:r>
              <w:rPr>
                <w:rFonts w:hint="eastAsia" w:ascii="仿宋_GB2312" w:eastAsia="仿宋_GB2312"/>
                <w:sz w:val="30"/>
                <w:szCs w:val="30"/>
                <w:lang w:eastAsia="zh-CN"/>
              </w:rPr>
              <w:t>为优秀</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lang w:eastAsia="zh-CN"/>
              </w:rPr>
              <w:t>已</w:t>
            </w:r>
            <w:r>
              <w:rPr>
                <w:rFonts w:hint="eastAsia" w:ascii="仿宋_GB2312" w:hAnsi="黑体" w:eastAsia="仿宋_GB2312"/>
                <w:sz w:val="30"/>
                <w:szCs w:val="30"/>
              </w:rPr>
              <w:t>完成高三模考3次</w:t>
            </w:r>
            <w:r>
              <w:rPr>
                <w:rFonts w:hint="eastAsia" w:ascii="仿宋_GB2312" w:hAnsi="黑体" w:eastAsia="仿宋_GB2312"/>
                <w:sz w:val="30"/>
                <w:szCs w:val="30"/>
                <w:lang w:eastAsia="zh-CN"/>
              </w:rPr>
              <w:t>、</w:t>
            </w:r>
            <w:r>
              <w:rPr>
                <w:rFonts w:hint="eastAsia" w:ascii="仿宋_GB2312" w:hAnsi="黑体" w:eastAsia="仿宋_GB2312"/>
                <w:sz w:val="30"/>
                <w:szCs w:val="30"/>
              </w:rPr>
              <w:t>完成高一监测</w:t>
            </w:r>
            <w:r>
              <w:rPr>
                <w:rFonts w:hint="eastAsia" w:ascii="仿宋_GB2312" w:hAnsi="黑体" w:eastAsia="仿宋_GB2312"/>
                <w:sz w:val="30"/>
                <w:szCs w:val="30"/>
                <w:lang w:val="en-US" w:eastAsia="zh-CN"/>
              </w:rPr>
              <w:t>2</w:t>
            </w:r>
            <w:r>
              <w:rPr>
                <w:rFonts w:hint="eastAsia" w:ascii="仿宋_GB2312" w:hAnsi="黑体" w:eastAsia="仿宋_GB2312"/>
                <w:sz w:val="30"/>
                <w:szCs w:val="30"/>
              </w:rPr>
              <w:t>次</w:t>
            </w:r>
            <w:r>
              <w:rPr>
                <w:rFonts w:hint="eastAsia" w:ascii="仿宋_GB2312" w:hAnsi="黑体" w:eastAsia="仿宋_GB2312"/>
                <w:sz w:val="30"/>
                <w:szCs w:val="30"/>
                <w:lang w:eastAsia="zh-CN"/>
              </w:rPr>
              <w:t>、</w:t>
            </w:r>
            <w:r>
              <w:rPr>
                <w:rFonts w:hint="eastAsia" w:ascii="仿宋_GB2312" w:hAnsi="黑体" w:eastAsia="仿宋_GB2312"/>
                <w:sz w:val="30"/>
                <w:szCs w:val="30"/>
              </w:rPr>
              <w:t>完成高二监测</w:t>
            </w:r>
            <w:r>
              <w:rPr>
                <w:rFonts w:hint="eastAsia" w:ascii="仿宋_GB2312" w:hAnsi="黑体" w:eastAsia="仿宋_GB2312"/>
                <w:sz w:val="30"/>
                <w:szCs w:val="30"/>
                <w:lang w:val="en-US" w:eastAsia="zh-CN"/>
              </w:rPr>
              <w:t>2</w:t>
            </w:r>
            <w:r>
              <w:rPr>
                <w:rFonts w:hint="eastAsia" w:ascii="仿宋_GB2312" w:hAnsi="黑体" w:eastAsia="仿宋_GB2312"/>
                <w:sz w:val="30"/>
                <w:szCs w:val="30"/>
              </w:rPr>
              <w:t>次</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2021年</w:t>
            </w:r>
            <w:r>
              <w:rPr>
                <w:rFonts w:hint="eastAsia" w:ascii="仿宋_GB2312" w:hAnsi="黑体" w:eastAsia="仿宋_GB2312"/>
                <w:sz w:val="30"/>
                <w:szCs w:val="30"/>
              </w:rPr>
              <w:t>高考成绩正增长</w:t>
            </w:r>
            <w:r>
              <w:rPr>
                <w:rFonts w:hint="eastAsia" w:ascii="仿宋_GB2312" w:hAnsi="黑体" w:eastAsia="仿宋_GB2312"/>
                <w:sz w:val="30"/>
                <w:szCs w:val="30"/>
                <w:lang w:eastAsia="zh-CN"/>
              </w:rPr>
              <w:t>；</w:t>
            </w:r>
            <w:r>
              <w:rPr>
                <w:rFonts w:hint="eastAsia" w:ascii="仿宋_GB2312" w:hAnsi="黑体" w:eastAsia="仿宋_GB2312"/>
                <w:sz w:val="30"/>
                <w:szCs w:val="30"/>
                <w:lang w:val="en-US" w:eastAsia="zh-CN"/>
              </w:rPr>
              <w:t>12月31日</w:t>
            </w:r>
            <w:r>
              <w:rPr>
                <w:rFonts w:hint="eastAsia" w:ascii="仿宋_GB2312" w:hAnsi="黑体" w:eastAsia="仿宋_GB2312"/>
                <w:sz w:val="30"/>
                <w:szCs w:val="30"/>
              </w:rPr>
              <w:t>完成学年度监测任务</w:t>
            </w:r>
            <w:r>
              <w:rPr>
                <w:rFonts w:hint="eastAsia" w:ascii="仿宋_GB2312" w:hAnsi="黑体" w:eastAsia="仿宋_GB2312"/>
                <w:sz w:val="30"/>
                <w:szCs w:val="30"/>
                <w:lang w:eastAsia="zh-CN"/>
              </w:rPr>
              <w:t>；</w:t>
            </w:r>
            <w:r>
              <w:rPr>
                <w:rFonts w:hint="eastAsia" w:ascii="仿宋_GB2312" w:hAnsi="黑体" w:eastAsia="仿宋_GB2312"/>
                <w:sz w:val="30"/>
                <w:szCs w:val="30"/>
              </w:rPr>
              <w:t>控制在预算</w:t>
            </w:r>
            <w:r>
              <w:rPr>
                <w:rFonts w:hint="eastAsia" w:ascii="仿宋_GB2312" w:hAnsi="黑体" w:eastAsia="仿宋_GB2312"/>
                <w:sz w:val="30"/>
                <w:szCs w:val="30"/>
                <w:lang w:val="en-US" w:eastAsia="zh-CN"/>
              </w:rPr>
              <w:t>60万以</w:t>
            </w:r>
            <w:r>
              <w:rPr>
                <w:rFonts w:hint="eastAsia" w:ascii="仿宋_GB2312" w:hAnsi="黑体" w:eastAsia="仿宋_GB2312"/>
                <w:sz w:val="30"/>
                <w:szCs w:val="30"/>
              </w:rPr>
              <w:t>内</w:t>
            </w:r>
            <w:r>
              <w:rPr>
                <w:rFonts w:hint="eastAsia" w:ascii="仿宋_GB2312" w:hAnsi="黑体" w:eastAsia="仿宋_GB2312"/>
                <w:sz w:val="30"/>
                <w:szCs w:val="30"/>
                <w:lang w:eastAsia="zh-CN"/>
              </w:rPr>
              <w:t>；通过监测分析</w:t>
            </w:r>
            <w:r>
              <w:rPr>
                <w:rFonts w:hint="eastAsia" w:ascii="仿宋_GB2312" w:hAnsi="黑体" w:eastAsia="仿宋_GB2312"/>
                <w:sz w:val="30"/>
                <w:szCs w:val="30"/>
              </w:rPr>
              <w:t>教学质量稳步提升</w:t>
            </w:r>
            <w:r>
              <w:rPr>
                <w:rFonts w:hint="eastAsia" w:ascii="仿宋_GB2312" w:hAnsi="黑体" w:eastAsia="仿宋_GB2312"/>
                <w:sz w:val="30"/>
                <w:szCs w:val="30"/>
                <w:lang w:eastAsia="zh-CN"/>
              </w:rPr>
              <w:t>；通过监测</w:t>
            </w:r>
            <w:r>
              <w:rPr>
                <w:rFonts w:hint="eastAsia" w:ascii="仿宋_GB2312" w:hAnsi="黑体" w:eastAsia="仿宋_GB2312"/>
                <w:sz w:val="30"/>
                <w:szCs w:val="30"/>
              </w:rPr>
              <w:t>对学生的三年的学习</w:t>
            </w:r>
            <w:r>
              <w:rPr>
                <w:rFonts w:hint="eastAsia" w:ascii="仿宋_GB2312" w:hAnsi="黑体" w:eastAsia="仿宋_GB2312"/>
                <w:sz w:val="30"/>
                <w:szCs w:val="30"/>
                <w:lang w:eastAsia="zh-CN"/>
              </w:rPr>
              <w:t>起到</w:t>
            </w:r>
            <w:r>
              <w:rPr>
                <w:rFonts w:hint="eastAsia" w:ascii="仿宋_GB2312" w:hAnsi="黑体" w:eastAsia="仿宋_GB2312"/>
                <w:sz w:val="30"/>
                <w:szCs w:val="30"/>
              </w:rPr>
              <w:t>良好</w:t>
            </w:r>
            <w:r>
              <w:rPr>
                <w:rFonts w:hint="eastAsia" w:ascii="仿宋_GB2312" w:hAnsi="黑体" w:eastAsia="仿宋_GB2312"/>
                <w:sz w:val="30"/>
                <w:szCs w:val="30"/>
                <w:lang w:eastAsia="zh-CN"/>
              </w:rPr>
              <w:t>的导向作用。</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hint="eastAsia" w:ascii="仿宋_GB2312" w:hAnsi="黑体" w:eastAsia="仿宋_GB2312"/>
                <w:sz w:val="30"/>
                <w:szCs w:val="30"/>
              </w:rPr>
              <w:t>主要经验及做法、存在问题和建议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eastAsia="楷体_GB2312"/>
                <w:bCs/>
                <w:sz w:val="28"/>
                <w:szCs w:val="28"/>
              </w:rPr>
            </w:pPr>
            <w:r>
              <w:rPr>
                <w:rFonts w:hint="eastAsia" w:ascii="仿宋_GB2312" w:hAnsi="黑体" w:eastAsia="仿宋_GB2312"/>
                <w:sz w:val="30"/>
                <w:szCs w:val="30"/>
                <w:lang w:eastAsia="zh-CN"/>
              </w:rPr>
              <w:t>存在的问题：因疫情的关系，部分质量监测的时间推迟，影响项目按时实施。建议：稳步推进质量监测改革工作，保质保量完成质量监测相关工作。</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DCEFA"/>
    <w:multiLevelType w:val="singleLevel"/>
    <w:tmpl w:val="C3ADCEFA"/>
    <w:lvl w:ilvl="0" w:tentative="0">
      <w:start w:val="1"/>
      <w:numFmt w:val="decimal"/>
      <w:lvlText w:val="%1."/>
      <w:lvlJc w:val="left"/>
      <w:pPr>
        <w:tabs>
          <w:tab w:val="left" w:pos="312"/>
        </w:tabs>
      </w:pPr>
    </w:lvl>
  </w:abstractNum>
  <w:abstractNum w:abstractNumId="1">
    <w:nsid w:val="E0F1D4DC"/>
    <w:multiLevelType w:val="singleLevel"/>
    <w:tmpl w:val="E0F1D4DC"/>
    <w:lvl w:ilvl="0" w:tentative="0">
      <w:start w:val="6"/>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MGM2ZmY0YTgwNzNkNTA2ZjZiMDg1MzMyZmVhN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7C15EA"/>
    <w:rsid w:val="03D95B55"/>
    <w:rsid w:val="03F81946"/>
    <w:rsid w:val="04723566"/>
    <w:rsid w:val="04EA2C78"/>
    <w:rsid w:val="05283431"/>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B37946"/>
    <w:rsid w:val="32F61BFE"/>
    <w:rsid w:val="33D81965"/>
    <w:rsid w:val="33FB79C4"/>
    <w:rsid w:val="35327B23"/>
    <w:rsid w:val="3547731A"/>
    <w:rsid w:val="3662489D"/>
    <w:rsid w:val="366375D2"/>
    <w:rsid w:val="379B40A4"/>
    <w:rsid w:val="3B681D67"/>
    <w:rsid w:val="3CC6041E"/>
    <w:rsid w:val="3DB14044"/>
    <w:rsid w:val="3E446A1F"/>
    <w:rsid w:val="41DB497A"/>
    <w:rsid w:val="432C3BF6"/>
    <w:rsid w:val="44455127"/>
    <w:rsid w:val="456A3C81"/>
    <w:rsid w:val="456F6819"/>
    <w:rsid w:val="47AC402E"/>
    <w:rsid w:val="488C1A5A"/>
    <w:rsid w:val="497A5C9E"/>
    <w:rsid w:val="4A921CA8"/>
    <w:rsid w:val="4B0D129B"/>
    <w:rsid w:val="4CAD6623"/>
    <w:rsid w:val="4CC47888"/>
    <w:rsid w:val="4CDB6C93"/>
    <w:rsid w:val="4D78026E"/>
    <w:rsid w:val="4D7B6EFB"/>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69B61ED"/>
    <w:rsid w:val="67A24393"/>
    <w:rsid w:val="689D49C6"/>
    <w:rsid w:val="6A535F74"/>
    <w:rsid w:val="6B7E1985"/>
    <w:rsid w:val="6E394A98"/>
    <w:rsid w:val="6E81656F"/>
    <w:rsid w:val="6ED872FF"/>
    <w:rsid w:val="6F642AF4"/>
    <w:rsid w:val="70796201"/>
    <w:rsid w:val="7261193B"/>
    <w:rsid w:val="74AF008E"/>
    <w:rsid w:val="75461F61"/>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8</TotalTime>
  <ScaleCrop>false</ScaleCrop>
  <LinksUpToDate>false</LinksUpToDate>
  <CharactersWithSpaces>6078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2023-09-22T08:30:00Z</cp:lastPrinted>
  <dcterms:modified xsi:type="dcterms:W3CDTF">2023-09-22T08:45:10Z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E9AB61422BA345C6B3FEB1316985C953</vt:lpwstr>
  </property>
</Properties>
</file>