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岳阳市二幼儿园部门决算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 岳阳市二幼儿园单位概况</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岳阳市二幼儿园单位概况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8"/>
        <w:ind w:left="720" w:firstLine="0" w:firstLineChars="0"/>
        <w:jc w:val="left"/>
        <w:rPr>
          <w:rFonts w:ascii="黑体" w:hAnsi="黑体" w:eastAsia="黑体"/>
          <w:sz w:val="32"/>
          <w:szCs w:val="32"/>
        </w:rPr>
      </w:pPr>
    </w:p>
    <w:p>
      <w:pPr>
        <w:pStyle w:val="8"/>
        <w:ind w:left="720" w:firstLine="0" w:firstLineChars="0"/>
        <w:jc w:val="left"/>
        <w:rPr>
          <w:rFonts w:ascii="黑体" w:hAnsi="黑体" w:eastAsia="黑体"/>
          <w:sz w:val="32"/>
          <w:szCs w:val="32"/>
        </w:rPr>
      </w:pPr>
    </w:p>
    <w:p>
      <w:pPr>
        <w:pStyle w:val="8"/>
        <w:ind w:left="720" w:firstLine="0" w:firstLineChars="0"/>
        <w:jc w:val="left"/>
        <w:rPr>
          <w:rFonts w:ascii="黑体" w:hAnsi="黑体" w:eastAsia="黑体"/>
          <w:sz w:val="32"/>
          <w:szCs w:val="32"/>
        </w:rPr>
      </w:pPr>
    </w:p>
    <w:p>
      <w:pPr>
        <w:pStyle w:val="8"/>
        <w:numPr>
          <w:ilvl w:val="0"/>
          <w:numId w:val="1"/>
        </w:numPr>
        <w:ind w:firstLineChars="0"/>
        <w:jc w:val="left"/>
        <w:rPr>
          <w:rFonts w:ascii="黑体" w:hAnsi="黑体" w:eastAsia="黑体"/>
          <w:sz w:val="28"/>
          <w:szCs w:val="28"/>
        </w:rPr>
      </w:pPr>
      <w:r>
        <w:rPr>
          <w:rFonts w:ascii="黑体" w:hAnsi="黑体" w:eastAsia="黑体"/>
          <w:sz w:val="28"/>
          <w:szCs w:val="28"/>
        </w:rPr>
        <w:t>部门职责</w:t>
      </w:r>
    </w:p>
    <w:p>
      <w:pPr>
        <w:widowControl/>
        <w:jc w:val="left"/>
        <w:rPr>
          <w:sz w:val="20"/>
          <w:szCs w:val="21"/>
        </w:rPr>
      </w:pPr>
      <w:r>
        <w:rPr>
          <w:rFonts w:ascii="宋体" w:hAnsi="宋体" w:cs="宋体"/>
          <w:b/>
          <w:bCs/>
          <w:color w:val="000000"/>
          <w:kern w:val="0"/>
          <w:sz w:val="28"/>
          <w:szCs w:val="28"/>
        </w:rPr>
        <w:t xml:space="preserve">（一）职能职责 </w:t>
      </w:r>
    </w:p>
    <w:p>
      <w:pPr>
        <w:widowControl/>
        <w:ind w:firstLine="560" w:firstLineChars="200"/>
        <w:jc w:val="left"/>
        <w:rPr>
          <w:sz w:val="20"/>
          <w:szCs w:val="21"/>
        </w:rPr>
      </w:pPr>
      <w:r>
        <w:rPr>
          <w:rFonts w:hint="eastAsia" w:ascii="宋体" w:hAnsi="宋体" w:cs="宋体"/>
          <w:color w:val="000000"/>
          <w:kern w:val="0"/>
          <w:sz w:val="28"/>
          <w:szCs w:val="28"/>
        </w:rPr>
        <w:t xml:space="preserve">1、发展入园幼儿智力，培养正确运用感官和运用语言交往的基本能力，培养有益的兴趣和求知欲望，培养初步的动手能力。 </w:t>
      </w:r>
    </w:p>
    <w:p>
      <w:pPr>
        <w:widowControl/>
        <w:ind w:firstLine="560" w:firstLineChars="200"/>
        <w:jc w:val="left"/>
        <w:rPr>
          <w:sz w:val="20"/>
          <w:szCs w:val="21"/>
        </w:rPr>
      </w:pPr>
      <w:r>
        <w:rPr>
          <w:rFonts w:hint="eastAsia" w:ascii="宋体" w:hAnsi="宋体" w:cs="宋体"/>
          <w:color w:val="000000"/>
          <w:kern w:val="0"/>
          <w:sz w:val="28"/>
          <w:szCs w:val="28"/>
        </w:rPr>
        <w:t xml:space="preserve">2、促进幼儿身体正常发育和机能的协调发展，增强体质 ，培养良好的生活习惯、卫生习惯和参加体育活动的兴趣。 </w:t>
      </w:r>
    </w:p>
    <w:p>
      <w:pPr>
        <w:widowControl/>
        <w:ind w:firstLine="560" w:firstLineChars="200"/>
        <w:jc w:val="left"/>
        <w:rPr>
          <w:sz w:val="20"/>
          <w:szCs w:val="21"/>
        </w:rPr>
      </w:pPr>
      <w:r>
        <w:rPr>
          <w:rFonts w:hint="eastAsia" w:ascii="宋体" w:hAnsi="宋体" w:cs="宋体"/>
          <w:color w:val="000000"/>
          <w:kern w:val="0"/>
          <w:sz w:val="28"/>
          <w:szCs w:val="28"/>
        </w:rPr>
        <w:t xml:space="preserve">3、培养入园幼儿初步的感受美和表现美的情趣和能力。 </w:t>
      </w:r>
    </w:p>
    <w:p>
      <w:pPr>
        <w:widowControl/>
        <w:ind w:firstLine="560" w:firstLineChars="200"/>
        <w:jc w:val="left"/>
        <w:rPr>
          <w:rFonts w:ascii="仿宋_GB2312" w:hAnsi="宋体" w:eastAsia="仿宋_GB2312"/>
          <w:sz w:val="24"/>
          <w:szCs w:val="28"/>
        </w:rPr>
      </w:pPr>
      <w:r>
        <w:rPr>
          <w:rFonts w:hint="eastAsia" w:ascii="宋体" w:hAnsi="宋体" w:cs="宋体"/>
          <w:color w:val="000000"/>
          <w:kern w:val="0"/>
          <w:sz w:val="28"/>
          <w:szCs w:val="28"/>
        </w:rPr>
        <w:t>4、为学龄前儿童提供保育和教育服务。</w:t>
      </w:r>
    </w:p>
    <w:p>
      <w:pPr>
        <w:widowControl/>
        <w:spacing w:line="600" w:lineRule="exact"/>
        <w:rPr>
          <w:rFonts w:ascii="宋体" w:hAnsi="宋体"/>
          <w:bCs/>
          <w:kern w:val="0"/>
          <w:sz w:val="32"/>
          <w:szCs w:val="32"/>
        </w:rPr>
      </w:pPr>
      <w:r>
        <w:rPr>
          <w:rFonts w:hint="eastAsia" w:ascii="黑体" w:hAnsi="黑体" w:eastAsia="黑体"/>
          <w:bCs/>
          <w:kern w:val="0"/>
          <w:sz w:val="32"/>
          <w:szCs w:val="32"/>
        </w:rPr>
        <w:t>二、机构设置及决算单位构成</w:t>
      </w:r>
    </w:p>
    <w:p>
      <w:pPr>
        <w:widowControl/>
        <w:shd w:val="clear" w:color="auto" w:fill="FFFFFF"/>
        <w:spacing w:line="480" w:lineRule="auto"/>
        <w:ind w:firstLine="480"/>
        <w:rPr>
          <w:rFonts w:ascii="宋体" w:hAnsi="宋体"/>
          <w:bCs/>
          <w:kern w:val="0"/>
          <w:sz w:val="32"/>
          <w:szCs w:val="32"/>
        </w:rPr>
      </w:pPr>
      <w:r>
        <w:rPr>
          <w:rFonts w:hint="eastAsia" w:ascii="宋体" w:hAnsi="宋体"/>
          <w:bCs/>
          <w:kern w:val="0"/>
          <w:sz w:val="32"/>
          <w:szCs w:val="32"/>
        </w:rPr>
        <w:t>（一）内设机构设置。</w:t>
      </w:r>
    </w:p>
    <w:p>
      <w:pPr>
        <w:widowControl/>
        <w:shd w:val="clear" w:color="auto" w:fill="FFFFFF"/>
        <w:spacing w:line="480" w:lineRule="auto"/>
        <w:ind w:firstLine="480"/>
        <w:rPr>
          <w:rFonts w:ascii="宋体" w:hAnsi="宋体"/>
          <w:bCs/>
          <w:kern w:val="0"/>
          <w:sz w:val="32"/>
          <w:szCs w:val="32"/>
        </w:rPr>
      </w:pPr>
      <w:r>
        <w:rPr>
          <w:rFonts w:hint="eastAsia" w:ascii="宋体" w:hAnsi="宋体"/>
          <w:bCs/>
          <w:kern w:val="0"/>
          <w:sz w:val="32"/>
          <w:szCs w:val="32"/>
        </w:rPr>
        <w:t>岳阳市二幼儿园内设机构包括：我单位为正科级公益二类全额拨款事业单位。</w:t>
      </w:r>
      <w:r>
        <w:rPr>
          <w:rFonts w:hint="eastAsia" w:asciiTheme="minorEastAsia" w:hAnsiTheme="minorEastAsia"/>
          <w:bCs/>
          <w:kern w:val="0"/>
          <w:sz w:val="32"/>
          <w:szCs w:val="32"/>
          <w:lang w:eastAsia="zh-CN"/>
        </w:rPr>
        <w:t>内设机构包括：办公室、</w:t>
      </w:r>
      <w:r>
        <w:rPr>
          <w:rFonts w:hint="eastAsia" w:asciiTheme="minorEastAsia" w:hAnsiTheme="minorEastAsia"/>
          <w:bCs/>
          <w:kern w:val="0"/>
          <w:sz w:val="32"/>
          <w:szCs w:val="32"/>
          <w:lang w:val="en-US" w:eastAsia="zh-CN"/>
        </w:rPr>
        <w:t>财务室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教研组</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后勤部</w:t>
      </w:r>
      <w:r>
        <w:rPr>
          <w:rFonts w:hint="eastAsia" w:asciiTheme="minorEastAsia" w:hAnsiTheme="minorEastAsia"/>
          <w:bCs/>
          <w:kern w:val="0"/>
          <w:sz w:val="32"/>
          <w:szCs w:val="32"/>
          <w:lang w:eastAsia="zh-CN"/>
        </w:rPr>
        <w:t>等。</w:t>
      </w:r>
      <w:bookmarkStart w:id="3" w:name="_GoBack"/>
      <w:bookmarkEnd w:id="3"/>
      <w:r>
        <w:rPr>
          <w:rFonts w:hint="eastAsia" w:ascii="宋体" w:hAnsi="宋体"/>
          <w:bCs/>
          <w:kern w:val="0"/>
          <w:sz w:val="32"/>
          <w:szCs w:val="32"/>
        </w:rPr>
        <w:t>独立编制、独立核算的机构1个，全部纳入2020年部门预算编制范围。</w:t>
      </w:r>
    </w:p>
    <w:p>
      <w:pPr>
        <w:widowControl/>
        <w:numPr>
          <w:ilvl w:val="0"/>
          <w:numId w:val="2"/>
        </w:numPr>
        <w:shd w:val="clear" w:color="auto" w:fill="FFFFFF"/>
        <w:spacing w:line="480" w:lineRule="auto"/>
        <w:ind w:firstLine="480"/>
        <w:rPr>
          <w:rFonts w:ascii="宋体" w:hAnsi="宋体"/>
          <w:bCs/>
          <w:kern w:val="0"/>
          <w:sz w:val="32"/>
          <w:szCs w:val="32"/>
        </w:rPr>
      </w:pPr>
      <w:r>
        <w:rPr>
          <w:rFonts w:hint="eastAsia" w:ascii="宋体" w:hAnsi="宋体"/>
          <w:bCs/>
          <w:kern w:val="0"/>
          <w:sz w:val="32"/>
          <w:szCs w:val="32"/>
        </w:rPr>
        <w:t>决算单位构成。</w:t>
      </w:r>
    </w:p>
    <w:p>
      <w:pPr>
        <w:widowControl/>
        <w:shd w:val="clear" w:color="auto" w:fill="FFFFFF"/>
        <w:spacing w:line="480" w:lineRule="auto"/>
        <w:ind w:firstLine="640" w:firstLineChars="200"/>
        <w:rPr>
          <w:rFonts w:ascii="宋体" w:hAnsi="宋体"/>
          <w:bCs/>
          <w:kern w:val="0"/>
          <w:sz w:val="32"/>
          <w:szCs w:val="32"/>
        </w:rPr>
      </w:pPr>
      <w:r>
        <w:rPr>
          <w:rFonts w:hint="eastAsia" w:ascii="宋体" w:hAnsi="宋体"/>
          <w:bCs/>
          <w:kern w:val="0"/>
          <w:sz w:val="32"/>
          <w:szCs w:val="32"/>
        </w:rPr>
        <w:t>岳阳市二幼儿园2020年部门决算公开单位构成包括：岳阳市二幼儿园本级。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4"/>
        <w:gridCol w:w="448"/>
        <w:gridCol w:w="631"/>
        <w:gridCol w:w="599"/>
        <w:gridCol w:w="98"/>
        <w:gridCol w:w="236"/>
        <w:gridCol w:w="3467"/>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732.72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709.89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26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12.02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732.72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747.91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81.72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66.53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rPr>
            </w:pPr>
            <w:r>
              <w:rPr>
                <w:rFonts w:hint="eastAsia" w:ascii="宋体" w:hAnsi="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814.44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rPr>
            </w:pPr>
            <w:r>
              <w:rPr>
                <w:rFonts w:hint="eastAsia" w:ascii="宋体" w:hAnsi="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hAnsi="宋体" w:cs="宋体"/>
                <w:b/>
                <w:bCs/>
                <w:kern w:val="0"/>
                <w:sz w:val="22"/>
              </w:rPr>
            </w:pPr>
            <w:r>
              <w:rPr>
                <w:rFonts w:hint="eastAsia" w:ascii="宋体" w:hAnsi="宋体" w:cs="宋体"/>
                <w:b/>
                <w:bCs/>
                <w:kern w:val="0"/>
                <w:sz w:val="22"/>
              </w:rPr>
              <w:t>　</w:t>
            </w:r>
            <w:r>
              <w:rPr>
                <w:rFonts w:hint="eastAsia" w:ascii="宋体" w:hAnsi="宋体" w:cs="宋体"/>
                <w:kern w:val="0"/>
                <w:sz w:val="22"/>
              </w:rPr>
              <w:t>814.44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注：1.本表反映部门本年度的总收支和年末结转结余情况。</w:t>
            </w:r>
          </w:p>
          <w:p>
            <w:pPr>
              <w:widowControl/>
              <w:jc w:val="left"/>
              <w:rPr>
                <w:rFonts w:ascii="宋体" w:hAnsi="宋体" w:cs="宋体"/>
                <w:kern w:val="0"/>
                <w:sz w:val="24"/>
                <w:szCs w:val="24"/>
              </w:rPr>
            </w:pPr>
            <w:r>
              <w:rPr>
                <w:rFonts w:hint="eastAsia" w:ascii="宋体" w:hAnsi="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6"/>
        <w:tblW w:w="14817" w:type="dxa"/>
        <w:tblInd w:w="0" w:type="dxa"/>
        <w:tblLayout w:type="fixed"/>
        <w:tblCellMar>
          <w:top w:w="0" w:type="dxa"/>
          <w:left w:w="0" w:type="dxa"/>
          <w:bottom w:w="0" w:type="dxa"/>
          <w:right w:w="0" w:type="dxa"/>
        </w:tblCellMar>
      </w:tblPr>
      <w:tblGrid>
        <w:gridCol w:w="538"/>
        <w:gridCol w:w="449"/>
        <w:gridCol w:w="2550"/>
        <w:gridCol w:w="1640"/>
        <w:gridCol w:w="1640"/>
        <w:gridCol w:w="1590"/>
        <w:gridCol w:w="1590"/>
        <w:gridCol w:w="1590"/>
        <w:gridCol w:w="1590"/>
        <w:gridCol w:w="1640"/>
      </w:tblGrid>
      <w:tr>
        <w:tblPrEx>
          <w:tblCellMar>
            <w:top w:w="0" w:type="dxa"/>
            <w:left w:w="0" w:type="dxa"/>
            <w:bottom w:w="0" w:type="dxa"/>
            <w:right w:w="0" w:type="dxa"/>
          </w:tblCellMar>
        </w:tblPrEx>
        <w:trPr>
          <w:trHeight w:val="435" w:hRule="atLeast"/>
        </w:trPr>
        <w:tc>
          <w:tcPr>
            <w:tcW w:w="14817"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4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25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cs="宋体"/>
                <w:color w:val="000000"/>
                <w:sz w:val="20"/>
                <w:szCs w:val="20"/>
              </w:rPr>
            </w:pPr>
            <w:r>
              <w:rPr>
                <w:rFonts w:hint="eastAsia"/>
                <w:color w:val="000000"/>
                <w:sz w:val="20"/>
                <w:szCs w:val="20"/>
              </w:rPr>
              <w:t>部门：</w:t>
            </w:r>
          </w:p>
        </w:tc>
        <w:tc>
          <w:tcPr>
            <w:tcW w:w="25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宋体"/>
                <w:sz w:val="24"/>
                <w:szCs w:val="24"/>
              </w:rPr>
            </w:pPr>
            <w:r>
              <w:rPr>
                <w:rFonts w:hint="eastAsia"/>
              </w:rPr>
              <w:t>财政拨款收入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上级补助收入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事业收入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经营收入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7"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功能分类科目编码</w:t>
            </w:r>
          </w:p>
        </w:tc>
        <w:tc>
          <w:tcPr>
            <w:tcW w:w="2550" w:type="dxa"/>
            <w:vMerge w:val="restar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科目名称</w:t>
            </w:r>
          </w:p>
        </w:tc>
        <w:tc>
          <w:tcPr>
            <w:tcW w:w="164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987"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255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p>
        </w:tc>
      </w:tr>
      <w:tr>
        <w:tblPrEx>
          <w:tblCellMar>
            <w:top w:w="0" w:type="dxa"/>
            <w:left w:w="0" w:type="dxa"/>
            <w:bottom w:w="0" w:type="dxa"/>
            <w:right w:w="0" w:type="dxa"/>
          </w:tblCellMar>
        </w:tblPrEx>
        <w:trPr>
          <w:trHeight w:val="450" w:hRule="atLeast"/>
        </w:trPr>
        <w:tc>
          <w:tcPr>
            <w:tcW w:w="35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2</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3</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4</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5</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6</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5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合计</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732.72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732.72</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2050201</w:t>
            </w:r>
          </w:p>
        </w:tc>
        <w:tc>
          <w:tcPr>
            <w:tcW w:w="2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学前教育</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588.92</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588.92</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2050299</w:t>
            </w:r>
          </w:p>
        </w:tc>
        <w:tc>
          <w:tcPr>
            <w:tcW w:w="2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其他普通教育支出</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1</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1</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2050999</w:t>
            </w:r>
          </w:p>
        </w:tc>
        <w:tc>
          <w:tcPr>
            <w:tcW w:w="2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其他教育费附加安排的支出</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104.78</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104.78</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2080505</w:t>
            </w:r>
          </w:p>
        </w:tc>
        <w:tc>
          <w:tcPr>
            <w:tcW w:w="2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机关事业单位基本养老保险</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26</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26</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2101102</w:t>
            </w:r>
          </w:p>
        </w:tc>
        <w:tc>
          <w:tcPr>
            <w:tcW w:w="2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事业单位医疗</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12.02</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12.02</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w:t>
            </w:r>
          </w:p>
        </w:tc>
        <w:tc>
          <w:tcPr>
            <w:tcW w:w="2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5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817" w:type="dxa"/>
            <w:gridSpan w:val="10"/>
            <w:tcBorders>
              <w:top w:val="nil"/>
              <w:left w:val="nil"/>
              <w:bottom w:val="nil"/>
              <w:right w:val="nil"/>
            </w:tcBorders>
            <w:noWrap/>
            <w:tcMar>
              <w:top w:w="15" w:type="dxa"/>
              <w:left w:w="15" w:type="dxa"/>
              <w:bottom w:w="0" w:type="dxa"/>
              <w:right w:w="15" w:type="dxa"/>
            </w:tcMar>
            <w:vAlign w:val="center"/>
          </w:tcPr>
          <w:p>
            <w:pPr>
              <w:rPr>
                <w:rFonts w:ascii="宋体" w:hAnsi="宋体" w:cs="宋体"/>
                <w:sz w:val="24"/>
                <w:szCs w:val="24"/>
              </w:rPr>
            </w:pPr>
            <w:r>
              <w:rPr>
                <w:rFonts w:hint="eastAsia"/>
              </w:rPr>
              <w:t>注：本表反映部门本年度取得的各项收入情况。</w:t>
            </w:r>
          </w:p>
        </w:tc>
      </w:tr>
    </w:tbl>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br w:type="page"/>
      </w:r>
    </w:p>
    <w:p>
      <w:pPr>
        <w:widowControl/>
        <w:rPr>
          <w:rFonts w:ascii="Times New Roman" w:hAnsi="Times New Roman" w:eastAsia="方正小标宋_GBK"/>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40"/>
        <w:gridCol w:w="3111"/>
        <w:gridCol w:w="1365"/>
        <w:gridCol w:w="1425"/>
        <w:gridCol w:w="1320"/>
        <w:gridCol w:w="1770"/>
        <w:gridCol w:w="1260"/>
        <w:gridCol w:w="1650"/>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111"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111"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3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本年支出合计</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基本支出</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项目支出</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上缴上级支出</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经营支出</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功能分类科目编码</w:t>
            </w:r>
          </w:p>
        </w:tc>
        <w:tc>
          <w:tcPr>
            <w:tcW w:w="311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科目名称</w:t>
            </w:r>
          </w:p>
        </w:tc>
        <w:tc>
          <w:tcPr>
            <w:tcW w:w="136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311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50" w:hRule="atLeast"/>
        </w:trPr>
        <w:tc>
          <w:tcPr>
            <w:tcW w:w="43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栏次</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7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2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16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450" w:hRule="atLeast"/>
        </w:trPr>
        <w:tc>
          <w:tcPr>
            <w:tcW w:w="43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747.91　</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589.61</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158.3</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2050201</w:t>
            </w:r>
          </w:p>
        </w:tc>
        <w:tc>
          <w:tcPr>
            <w:tcW w:w="3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学前教育</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597.11</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441.81</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155.3</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2050999</w:t>
            </w:r>
          </w:p>
        </w:tc>
        <w:tc>
          <w:tcPr>
            <w:tcW w:w="3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其他教育费附加安排的支出</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112.78</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109.78</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3</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2080505</w:t>
            </w:r>
          </w:p>
        </w:tc>
        <w:tc>
          <w:tcPr>
            <w:tcW w:w="3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机关事业单位基本养老保险</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26</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26</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2101102</w:t>
            </w:r>
          </w:p>
        </w:tc>
        <w:tc>
          <w:tcPr>
            <w:tcW w:w="3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事业单位医疗</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12.02</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12.02</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2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2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7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6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noWrap/>
            <w:vAlign w:val="center"/>
          </w:tcPr>
          <w:p>
            <w:pPr>
              <w:widowControl/>
              <w:jc w:val="right"/>
              <w:rPr>
                <w:rFonts w:ascii="宋体" w:hAnsi="宋体" w:cs="宋体"/>
                <w:kern w:val="0"/>
                <w:sz w:val="24"/>
                <w:szCs w:val="24"/>
              </w:rPr>
            </w:pPr>
          </w:p>
        </w:tc>
        <w:tc>
          <w:tcPr>
            <w:tcW w:w="1574" w:type="dxa"/>
            <w:gridSpan w:val="2"/>
            <w:tcBorders>
              <w:top w:val="nil"/>
              <w:left w:val="nil"/>
              <w:bottom w:val="nil"/>
              <w:right w:val="nil"/>
            </w:tcBorders>
            <w:noWrap/>
            <w:vAlign w:val="center"/>
          </w:tcPr>
          <w:p>
            <w:pPr>
              <w:widowControl/>
              <w:jc w:val="right"/>
              <w:rPr>
                <w:rFonts w:ascii="宋体" w:hAnsi="宋体" w:cs="宋体"/>
                <w:kern w:val="0"/>
                <w:sz w:val="24"/>
                <w:szCs w:val="24"/>
              </w:rPr>
            </w:pPr>
          </w:p>
        </w:tc>
        <w:tc>
          <w:tcPr>
            <w:tcW w:w="3547" w:type="dxa"/>
            <w:gridSpan w:val="2"/>
            <w:tcBorders>
              <w:top w:val="nil"/>
              <w:left w:val="nil"/>
              <w:bottom w:val="nil"/>
              <w:right w:val="nil"/>
            </w:tcBorders>
            <w:noWrap/>
            <w:vAlign w:val="center"/>
          </w:tcPr>
          <w:p>
            <w:pPr>
              <w:widowControl/>
              <w:jc w:val="right"/>
              <w:rPr>
                <w:rFonts w:ascii="宋体" w:hAnsi="宋体" w:cs="宋体"/>
                <w:kern w:val="0"/>
                <w:sz w:val="24"/>
                <w:szCs w:val="24"/>
              </w:rPr>
            </w:pPr>
          </w:p>
        </w:tc>
        <w:tc>
          <w:tcPr>
            <w:tcW w:w="435" w:type="dxa"/>
            <w:tcBorders>
              <w:top w:val="nil"/>
              <w:left w:val="nil"/>
              <w:bottom w:val="nil"/>
              <w:right w:val="nil"/>
            </w:tcBorders>
            <w:noWrap/>
            <w:vAlign w:val="center"/>
          </w:tcPr>
          <w:p>
            <w:pPr>
              <w:widowControl/>
              <w:jc w:val="right"/>
              <w:rPr>
                <w:rFonts w:ascii="宋体" w:hAnsi="宋体" w:cs="宋体"/>
                <w:kern w:val="0"/>
                <w:sz w:val="24"/>
                <w:szCs w:val="24"/>
              </w:rPr>
            </w:pPr>
          </w:p>
        </w:tc>
        <w:tc>
          <w:tcPr>
            <w:tcW w:w="1573" w:type="dxa"/>
            <w:tcBorders>
              <w:top w:val="nil"/>
              <w:left w:val="nil"/>
              <w:bottom w:val="nil"/>
              <w:right w:val="nil"/>
            </w:tcBorders>
            <w:noWrap/>
            <w:vAlign w:val="center"/>
          </w:tcPr>
          <w:p>
            <w:pPr>
              <w:widowControl/>
              <w:jc w:val="right"/>
              <w:rPr>
                <w:rFonts w:ascii="宋体" w:hAnsi="宋体" w:cs="宋体"/>
                <w:kern w:val="0"/>
                <w:sz w:val="24"/>
                <w:szCs w:val="24"/>
              </w:rPr>
            </w:pPr>
          </w:p>
        </w:tc>
        <w:tc>
          <w:tcPr>
            <w:tcW w:w="1394" w:type="dxa"/>
            <w:tcBorders>
              <w:top w:val="nil"/>
              <w:left w:val="nil"/>
              <w:bottom w:val="nil"/>
              <w:right w:val="nil"/>
            </w:tcBorders>
            <w:noWrap/>
            <w:vAlign w:val="center"/>
          </w:tcPr>
          <w:p>
            <w:pPr>
              <w:widowControl/>
              <w:jc w:val="right"/>
              <w:rPr>
                <w:rFonts w:ascii="宋体" w:hAnsi="宋体" w:cs="宋体"/>
                <w:kern w:val="0"/>
                <w:sz w:val="24"/>
                <w:szCs w:val="24"/>
              </w:rPr>
            </w:pPr>
          </w:p>
        </w:tc>
        <w:tc>
          <w:tcPr>
            <w:tcW w:w="1394" w:type="dxa"/>
            <w:tcBorders>
              <w:top w:val="nil"/>
              <w:left w:val="nil"/>
              <w:bottom w:val="nil"/>
              <w:right w:val="nil"/>
            </w:tcBorders>
            <w:noWrap/>
            <w:vAlign w:val="center"/>
          </w:tcPr>
          <w:p>
            <w:pPr>
              <w:widowControl/>
              <w:jc w:val="right"/>
              <w:rPr>
                <w:rFonts w:ascii="宋体" w:hAnsi="宋体" w:cs="宋体"/>
                <w:kern w:val="0"/>
                <w:sz w:val="24"/>
                <w:szCs w:val="24"/>
              </w:rPr>
            </w:pPr>
          </w:p>
        </w:tc>
        <w:tc>
          <w:tcPr>
            <w:tcW w:w="1573" w:type="dxa"/>
            <w:tcBorders>
              <w:top w:val="nil"/>
              <w:left w:val="nil"/>
              <w:bottom w:val="nil"/>
              <w:right w:val="nil"/>
            </w:tcBorders>
            <w:noWrap/>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栏    次</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07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栏    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732.72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三、国有资本经营预算财政拨款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709.89</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709.89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10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12.02</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12.02</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rPr>
            </w:pPr>
            <w:r>
              <w:rPr>
                <w:rFonts w:hint="eastAsia" w:ascii="宋体" w:hAnsi="宋体" w:cs="宋体"/>
                <w:b/>
                <w:bCs/>
                <w:kern w:val="0"/>
                <w:sz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732.72　</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rPr>
            </w:pPr>
            <w:r>
              <w:rPr>
                <w:rFonts w:hint="eastAsia" w:ascii="宋体" w:hAnsi="宋体" w:cs="宋体"/>
                <w:b/>
                <w:bCs/>
                <w:kern w:val="0"/>
                <w:sz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747.91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747.91</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81.72　</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66.53</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66.53</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xml:space="preserve">      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81.72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xml:space="preserve">        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07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xml:space="preserve">          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107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rPr>
            </w:pPr>
            <w:r>
              <w:rPr>
                <w:rFonts w:hint="eastAsia" w:ascii="宋体" w:hAnsi="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814.44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rPr>
            </w:pPr>
            <w:r>
              <w:rPr>
                <w:rFonts w:hint="eastAsia" w:ascii="宋体" w:hAnsi="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814.44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814.44</w:t>
            </w:r>
          </w:p>
        </w:tc>
        <w:tc>
          <w:tcPr>
            <w:tcW w:w="1394"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一般公共预算财政拨款支出决算表</w:t>
      </w:r>
      <w:bookmarkEnd w:id="1"/>
    </w:p>
    <w:p>
      <w:pPr>
        <w:widowControl/>
        <w:spacing w:beforeLines="5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部门：                                                                     公开05表</w:t>
      </w:r>
    </w:p>
    <w:p>
      <w:pPr>
        <w:widowControl/>
        <w:jc w:val="left"/>
        <w:rPr>
          <w:rFonts w:ascii="Times New Roman" w:hAnsi="Times New Roman"/>
          <w:color w:val="000000"/>
          <w:kern w:val="0"/>
          <w:sz w:val="20"/>
          <w:szCs w:val="20"/>
        </w:rPr>
      </w:pPr>
      <w:r>
        <w:rPr>
          <w:rFonts w:ascii="Times New Roman" w:hAnsi="Times New Roman" w:eastAsia="仿宋_GB2312"/>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项 目</w:t>
            </w:r>
          </w:p>
        </w:tc>
        <w:tc>
          <w:tcPr>
            <w:tcW w:w="9492" w:type="dxa"/>
            <w:gridSpan w:val="3"/>
            <w:tcBorders>
              <w:top w:val="single" w:color="auto" w:sz="8" w:space="0"/>
              <w:left w:val="nil"/>
              <w:bottom w:val="single" w:color="auto" w:sz="4" w:space="0"/>
              <w:right w:val="single" w:color="000000" w:sz="8"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p>
        </w:tc>
        <w:tc>
          <w:tcPr>
            <w:tcW w:w="35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3492"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8" w:space="0"/>
            </w:tcBorders>
            <w:noWrap/>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p>
        </w:tc>
        <w:tc>
          <w:tcPr>
            <w:tcW w:w="35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3492"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8" w:space="0"/>
            </w:tcBorders>
            <w:noWrap/>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栏次</w:t>
            </w:r>
          </w:p>
        </w:tc>
        <w:tc>
          <w:tcPr>
            <w:tcW w:w="30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34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300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合计</w:t>
            </w:r>
          </w:p>
        </w:tc>
        <w:tc>
          <w:tcPr>
            <w:tcW w:w="30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747.91</w:t>
            </w:r>
            <w:r>
              <w:rPr>
                <w:rFonts w:ascii="Times New Roman" w:hAnsi="Times New Roman" w:eastAsia="仿宋_GB2312"/>
                <w:kern w:val="0"/>
                <w:szCs w:val="21"/>
              </w:rPr>
              <w:t>　</w:t>
            </w:r>
          </w:p>
        </w:tc>
        <w:tc>
          <w:tcPr>
            <w:tcW w:w="3492"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589.61</w:t>
            </w:r>
          </w:p>
        </w:tc>
        <w:tc>
          <w:tcPr>
            <w:tcW w:w="3000" w:type="dxa"/>
            <w:tcBorders>
              <w:top w:val="nil"/>
              <w:left w:val="nil"/>
              <w:bottom w:val="single" w:color="auto" w:sz="4" w:space="0"/>
              <w:right w:val="single" w:color="auto" w:sz="8"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158.3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rPr>
                <w:rFonts w:ascii="Times New Roman" w:hAnsi="Times New Roman" w:eastAsia="仿宋_GB2312"/>
                <w:kern w:val="0"/>
                <w:szCs w:val="21"/>
              </w:rPr>
            </w:pPr>
            <w:r>
              <w:rPr>
                <w:rFonts w:hint="eastAsia" w:ascii="Times New Roman" w:hAnsi="Times New Roman" w:eastAsia="仿宋_GB2312"/>
                <w:kern w:val="0"/>
                <w:szCs w:val="21"/>
              </w:rPr>
              <w:t>2050201</w:t>
            </w:r>
            <w:r>
              <w:rPr>
                <w:rFonts w:ascii="Times New Roman" w:hAnsi="Times New Roman" w:eastAsia="仿宋_GB2312"/>
                <w:kern w:val="0"/>
                <w:szCs w:val="21"/>
              </w:rPr>
              <w:t>　</w:t>
            </w:r>
          </w:p>
        </w:tc>
        <w:tc>
          <w:tcPr>
            <w:tcW w:w="35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学前教育</w:t>
            </w:r>
          </w:p>
        </w:tc>
        <w:tc>
          <w:tcPr>
            <w:tcW w:w="30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597.11</w:t>
            </w:r>
          </w:p>
        </w:tc>
        <w:tc>
          <w:tcPr>
            <w:tcW w:w="3492"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441.81</w:t>
            </w:r>
          </w:p>
        </w:tc>
        <w:tc>
          <w:tcPr>
            <w:tcW w:w="3000" w:type="dxa"/>
            <w:tcBorders>
              <w:top w:val="nil"/>
              <w:left w:val="nil"/>
              <w:bottom w:val="single" w:color="auto" w:sz="4" w:space="0"/>
              <w:right w:val="single" w:color="auto" w:sz="8"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155.3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rPr>
                <w:rFonts w:ascii="Times New Roman" w:hAnsi="Times New Roman" w:eastAsia="仿宋_GB2312"/>
                <w:kern w:val="0"/>
                <w:szCs w:val="21"/>
              </w:rPr>
            </w:pPr>
            <w:r>
              <w:rPr>
                <w:rFonts w:hint="eastAsia" w:ascii="Times New Roman" w:hAnsi="Times New Roman" w:eastAsia="仿宋_GB2312"/>
                <w:kern w:val="0"/>
                <w:szCs w:val="21"/>
              </w:rPr>
              <w:t>2050999</w:t>
            </w:r>
            <w:r>
              <w:rPr>
                <w:rFonts w:ascii="Times New Roman" w:hAnsi="Times New Roman" w:eastAsia="仿宋_GB2312"/>
                <w:kern w:val="0"/>
                <w:szCs w:val="21"/>
              </w:rPr>
              <w:t>　</w:t>
            </w:r>
          </w:p>
        </w:tc>
        <w:tc>
          <w:tcPr>
            <w:tcW w:w="35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其他教育费附加安排的支出</w:t>
            </w:r>
          </w:p>
        </w:tc>
        <w:tc>
          <w:tcPr>
            <w:tcW w:w="30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112.78</w:t>
            </w:r>
          </w:p>
        </w:tc>
        <w:tc>
          <w:tcPr>
            <w:tcW w:w="3492"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109.78</w:t>
            </w:r>
          </w:p>
        </w:tc>
        <w:tc>
          <w:tcPr>
            <w:tcW w:w="3000" w:type="dxa"/>
            <w:tcBorders>
              <w:top w:val="nil"/>
              <w:left w:val="nil"/>
              <w:bottom w:val="single" w:color="auto" w:sz="4" w:space="0"/>
              <w:right w:val="single" w:color="auto" w:sz="8"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rPr>
                <w:rFonts w:ascii="Times New Roman" w:hAnsi="Times New Roman" w:eastAsia="仿宋_GB2312"/>
                <w:kern w:val="0"/>
                <w:szCs w:val="21"/>
              </w:rPr>
            </w:pPr>
            <w:r>
              <w:rPr>
                <w:rFonts w:hint="eastAsia" w:ascii="Times New Roman" w:hAnsi="Times New Roman" w:eastAsia="仿宋_GB2312"/>
                <w:kern w:val="0"/>
                <w:szCs w:val="21"/>
              </w:rPr>
              <w:t>2080505</w:t>
            </w:r>
            <w:r>
              <w:rPr>
                <w:rFonts w:ascii="Times New Roman" w:hAnsi="Times New Roman" w:eastAsia="仿宋_GB2312"/>
                <w:kern w:val="0"/>
                <w:szCs w:val="21"/>
              </w:rPr>
              <w:t>　</w:t>
            </w:r>
          </w:p>
        </w:tc>
        <w:tc>
          <w:tcPr>
            <w:tcW w:w="35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机关事业单位基本养老保险</w:t>
            </w:r>
          </w:p>
        </w:tc>
        <w:tc>
          <w:tcPr>
            <w:tcW w:w="30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26</w:t>
            </w:r>
          </w:p>
        </w:tc>
        <w:tc>
          <w:tcPr>
            <w:tcW w:w="3492"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26</w:t>
            </w:r>
          </w:p>
        </w:tc>
        <w:tc>
          <w:tcPr>
            <w:tcW w:w="3000" w:type="dxa"/>
            <w:tcBorders>
              <w:top w:val="nil"/>
              <w:left w:val="nil"/>
              <w:bottom w:val="single" w:color="auto" w:sz="4" w:space="0"/>
              <w:right w:val="single" w:color="auto" w:sz="8"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rPr>
                <w:rFonts w:ascii="Times New Roman" w:hAnsi="Times New Roman" w:eastAsia="仿宋_GB2312"/>
                <w:kern w:val="0"/>
                <w:szCs w:val="21"/>
              </w:rPr>
            </w:pPr>
            <w:r>
              <w:rPr>
                <w:rFonts w:hint="eastAsia" w:ascii="Times New Roman" w:hAnsi="Times New Roman" w:eastAsia="仿宋_GB2312"/>
                <w:kern w:val="0"/>
                <w:szCs w:val="21"/>
              </w:rPr>
              <w:t>2101102</w:t>
            </w:r>
            <w:r>
              <w:rPr>
                <w:rFonts w:ascii="Times New Roman" w:hAnsi="Times New Roman" w:eastAsia="仿宋_GB2312"/>
                <w:kern w:val="0"/>
                <w:szCs w:val="21"/>
              </w:rPr>
              <w:t>　</w:t>
            </w:r>
          </w:p>
        </w:tc>
        <w:tc>
          <w:tcPr>
            <w:tcW w:w="35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事业单位医疗</w:t>
            </w:r>
          </w:p>
        </w:tc>
        <w:tc>
          <w:tcPr>
            <w:tcW w:w="30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12.02</w:t>
            </w:r>
          </w:p>
        </w:tc>
        <w:tc>
          <w:tcPr>
            <w:tcW w:w="3492"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12.02</w:t>
            </w:r>
          </w:p>
        </w:tc>
        <w:tc>
          <w:tcPr>
            <w:tcW w:w="3000" w:type="dxa"/>
            <w:tcBorders>
              <w:top w:val="nil"/>
              <w:left w:val="nil"/>
              <w:bottom w:val="single" w:color="auto" w:sz="4" w:space="0"/>
              <w:right w:val="single" w:color="auto" w:sz="8"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352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30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3492"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3000" w:type="dxa"/>
            <w:tcBorders>
              <w:top w:val="nil"/>
              <w:left w:val="nil"/>
              <w:bottom w:val="single" w:color="auto" w:sz="4" w:space="0"/>
              <w:right w:val="single" w:color="auto" w:sz="8"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3527"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300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3492"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3000" w:type="dxa"/>
            <w:tcBorders>
              <w:top w:val="nil"/>
              <w:left w:val="nil"/>
              <w:bottom w:val="single" w:color="auto" w:sz="8" w:space="0"/>
              <w:right w:val="single" w:color="auto" w:sz="8"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注：本表反映部门本年度一般公共预算财政拨款支出情况。</w:t>
            </w:r>
          </w:p>
        </w:tc>
      </w:tr>
    </w:tbl>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r>
        <w:rPr>
          <w:rFonts w:ascii="Times New Roman" w:hAnsi="Times New Roman" w:eastAsia="仿宋_GB2312"/>
          <w:bCs/>
          <w:kern w:val="0"/>
          <w:szCs w:val="21"/>
        </w:rPr>
        <w:br w:type="page"/>
      </w:r>
    </w:p>
    <w:tbl>
      <w:tblPr>
        <w:tblStyle w:val="6"/>
        <w:tblW w:w="15614" w:type="dxa"/>
        <w:tblInd w:w="0" w:type="dxa"/>
        <w:tblLayout w:type="fixed"/>
        <w:tblCellMar>
          <w:top w:w="0" w:type="dxa"/>
          <w:left w:w="108" w:type="dxa"/>
          <w:bottom w:w="0" w:type="dxa"/>
          <w:right w:w="108" w:type="dxa"/>
        </w:tblCellMar>
      </w:tblPr>
      <w:tblGrid>
        <w:gridCol w:w="965"/>
        <w:gridCol w:w="3150"/>
        <w:gridCol w:w="1185"/>
        <w:gridCol w:w="1045"/>
        <w:gridCol w:w="2385"/>
        <w:gridCol w:w="1012"/>
        <w:gridCol w:w="1084"/>
        <w:gridCol w:w="3493"/>
        <w:gridCol w:w="1295"/>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部门： </w:t>
            </w:r>
            <w:r>
              <w:rPr>
                <w:rFonts w:hint="eastAsia" w:ascii="Times New Roman" w:hAnsi="Times New Roman" w:eastAsia="仿宋_GB2312"/>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olor w:val="000000"/>
                <w:kern w:val="0"/>
                <w:szCs w:val="21"/>
              </w:rPr>
              <w:t>单位：万元</w:t>
            </w:r>
          </w:p>
        </w:tc>
      </w:tr>
      <w:tr>
        <w:tblPrEx>
          <w:tblCellMar>
            <w:top w:w="0" w:type="dxa"/>
            <w:left w:w="108" w:type="dxa"/>
            <w:bottom w:w="0" w:type="dxa"/>
            <w:right w:w="108" w:type="dxa"/>
          </w:tblCellMar>
        </w:tblPrEx>
        <w:trPr>
          <w:trHeight w:val="113" w:hRule="atLeast"/>
        </w:trPr>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 w:val="20"/>
                <w:szCs w:val="20"/>
              </w:rPr>
              <w:t>经济分类科目编码</w:t>
            </w:r>
          </w:p>
        </w:tc>
        <w:tc>
          <w:tcPr>
            <w:tcW w:w="31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科目名称</w:t>
            </w:r>
          </w:p>
        </w:tc>
        <w:tc>
          <w:tcPr>
            <w:tcW w:w="11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决算数</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经济分类科目编码</w:t>
            </w:r>
          </w:p>
        </w:tc>
        <w:tc>
          <w:tcPr>
            <w:tcW w:w="23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科目名称</w:t>
            </w:r>
          </w:p>
        </w:tc>
        <w:tc>
          <w:tcPr>
            <w:tcW w:w="101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决算数</w:t>
            </w: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经济分类科目编码</w:t>
            </w:r>
          </w:p>
        </w:tc>
        <w:tc>
          <w:tcPr>
            <w:tcW w:w="34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科目名称</w:t>
            </w:r>
          </w:p>
        </w:tc>
        <w:tc>
          <w:tcPr>
            <w:tcW w:w="12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工资福利支出</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374.86</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商品和服务支出</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183.75</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307</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债务利息及费用支出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30101</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基本工资</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97.15</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30201</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办公费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1.5</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30701</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国内债务付息</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30102</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津贴补贴</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30202</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印刷费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3.97</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30702</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国外债务付息</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30103</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奖金</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65.78</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30203</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咨询费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资本性支出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30106</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伙食补助费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106.15</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30204</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手续费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31001</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房屋建筑物购建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30107</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绩效工资</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65.95</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30205</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水费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0.78</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31002</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办公设备购置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30108</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机关事业单位基本养老保险缴费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26.3</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30206</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电费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1.48</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31003</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专用设备购置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30109</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职业年金缴费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30207</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邮电费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0.04</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31005</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基础设施建设</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30110</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职工基本医疗保险缴费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13.52</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30208</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取暖费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31006</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大型修缮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30111</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公务员医疗补助缴费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30209</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物业管理费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1.65</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31007</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信息网络及软件购置更新</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30112</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其他社会保障缴费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30211</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差旅费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1.71</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31008</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物资储备</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30113</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住房公积金</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30212</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因公出国（境）费用</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31009</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土地补偿</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30114</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医疗费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30213</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维修（护）费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6.67</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31010</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安置补助</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30199</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其他工资福利支出</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30214</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租赁费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31011</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地上附着物和青苗补偿</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对个人和家庭的补助</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31</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30215</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会议费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31012</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拆迁补偿</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30301</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离休费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30216</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培训费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31013</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公务用车购置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30302</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退休费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31</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30217</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公务接待费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31019</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其他交通工具购置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30303</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退职（役）费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30218</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专用材料费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36.2</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31021</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文物和陈列品购置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30304</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抚恤金</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30224</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被装购置费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31022</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无形资产购置</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30305</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生活补助</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30225</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专用燃料费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31099</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其他资本性支出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30306</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救济费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30226</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劳务费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82.85</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399</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其他支出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30307</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医疗费补助</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30227</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委托业务费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39906</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赠与</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30308</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助学金</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30228</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工会经费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9.53</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39907</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国家赔偿费用支出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30309</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奖励金</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30229</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福利费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39908</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对民间非营利组织和群众性自治组织补贴</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30310</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个人农业生产补贴</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30231</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公务用车运行维护费</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39999</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其他支出</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30311</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代缴社会保险费</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30239</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其他交通费用</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0.37</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30399</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其他对个人和家庭的补助</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30240</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税金及附加费用</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31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c>
          <w:tcPr>
            <w:tcW w:w="104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30299</w:t>
            </w:r>
          </w:p>
        </w:tc>
        <w:tc>
          <w:tcPr>
            <w:tcW w:w="23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xml:space="preserve">  其他商品和服务支出</w:t>
            </w:r>
          </w:p>
        </w:tc>
        <w:tc>
          <w:tcPr>
            <w:tcW w:w="101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36</w:t>
            </w:r>
          </w:p>
        </w:tc>
        <w:tc>
          <w:tcPr>
            <w:tcW w:w="10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w:t>
            </w:r>
          </w:p>
        </w:tc>
        <w:tc>
          <w:tcPr>
            <w:tcW w:w="349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41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人员经费合计</w:t>
            </w:r>
          </w:p>
        </w:tc>
        <w:tc>
          <w:tcPr>
            <w:tcW w:w="118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405.86</w:t>
            </w:r>
          </w:p>
        </w:tc>
        <w:tc>
          <w:tcPr>
            <w:tcW w:w="9019"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公用经费合计</w:t>
            </w:r>
          </w:p>
        </w:tc>
        <w:tc>
          <w:tcPr>
            <w:tcW w:w="129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18"/>
              </w:rPr>
            </w:pPr>
            <w:r>
              <w:rPr>
                <w:rFonts w:hint="eastAsia" w:ascii="宋体" w:hAnsi="宋体" w:cs="宋体"/>
                <w:color w:val="000000"/>
                <w:kern w:val="0"/>
                <w:szCs w:val="18"/>
              </w:rPr>
              <w:t>　183.75</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noWrap/>
            <w:vAlign w:val="center"/>
          </w:tcPr>
          <w:p>
            <w:pPr>
              <w:widowControl/>
              <w:jc w:val="left"/>
              <w:rPr>
                <w:rFonts w:ascii="宋体" w:hAnsi="宋体" w:cs="宋体"/>
                <w:color w:val="000000"/>
                <w:kern w:val="0"/>
                <w:szCs w:val="24"/>
              </w:rPr>
            </w:pPr>
            <w:r>
              <w:rPr>
                <w:rFonts w:hint="eastAsia" w:ascii="宋体" w:hAnsi="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一般公共预算财政拨款“三公”经费支出决算表</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部门：                                                                                                                      公开0</w:t>
      </w:r>
      <w:r>
        <w:rPr>
          <w:rFonts w:hint="eastAsia" w:ascii="Times New Roman" w:hAnsi="Times New Roman" w:eastAsia="仿宋_GB2312"/>
          <w:color w:val="000000"/>
          <w:kern w:val="0"/>
          <w:szCs w:val="21"/>
        </w:rPr>
        <w:t>7</w:t>
      </w:r>
      <w:r>
        <w:rPr>
          <w:rFonts w:ascii="Times New Roman" w:hAnsi="Times New Roman" w:eastAsia="仿宋_GB2312"/>
          <w:color w:val="000000"/>
          <w:kern w:val="0"/>
          <w:szCs w:val="21"/>
        </w:rPr>
        <w:t>表</w:t>
      </w:r>
    </w:p>
    <w:p>
      <w:pPr>
        <w:widowControl/>
        <w:ind w:right="420"/>
        <w:jc w:val="right"/>
        <w:rPr>
          <w:rFonts w:ascii="Times New Roman" w:hAnsi="Times New Roman" w:eastAsia="仿宋_GB2312"/>
          <w:color w:val="000000"/>
          <w:kern w:val="0"/>
          <w:szCs w:val="21"/>
        </w:rPr>
      </w:pPr>
      <w:r>
        <w:rPr>
          <w:rFonts w:ascii="Times New Roman" w:hAnsi="Times New Roman" w:eastAsia="仿宋_GB2312"/>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w:t>
            </w:r>
          </w:p>
          <w:p>
            <w:pPr>
              <w:widowControl/>
              <w:jc w:val="center"/>
              <w:rPr>
                <w:rFonts w:ascii="Times New Roman" w:hAnsi="Times New Roman" w:eastAsia="仿宋_GB2312"/>
                <w:kern w:val="0"/>
                <w:szCs w:val="21"/>
              </w:rPr>
            </w:pPr>
            <w:r>
              <w:rPr>
                <w:rFonts w:ascii="Times New Roman" w:hAnsi="Times New Roman" w:eastAsia="仿宋_GB2312"/>
                <w:kern w:val="0"/>
                <w:szCs w:val="21"/>
              </w:rPr>
              <w:t>接待费</w:t>
            </w:r>
          </w:p>
        </w:tc>
        <w:tc>
          <w:tcPr>
            <w:tcW w:w="1220" w:type="dxa"/>
            <w:vMerge w:val="restart"/>
            <w:tcBorders>
              <w:top w:val="nil"/>
              <w:left w:val="nil"/>
              <w:bottom w:val="single" w:color="000000"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w:t>
            </w:r>
          </w:p>
          <w:p>
            <w:pPr>
              <w:widowControl/>
              <w:jc w:val="center"/>
              <w:rPr>
                <w:rFonts w:ascii="Times New Roman" w:hAnsi="Times New Roman" w:eastAsia="仿宋_GB2312"/>
                <w:kern w:val="0"/>
                <w:szCs w:val="21"/>
              </w:rPr>
            </w:pPr>
            <w:r>
              <w:rPr>
                <w:rFonts w:ascii="Times New Roman" w:hAnsi="Times New Roman" w:eastAsia="仿宋_GB2312"/>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小计</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ascii="Times New Roman" w:hAnsi="Times New Roman" w:eastAsia="仿宋_GB2312"/>
                <w:kern w:val="0"/>
                <w:szCs w:val="21"/>
              </w:rPr>
              <w:t>购置费</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ascii="Times New Roman" w:hAnsi="Times New Roman" w:eastAsia="仿宋_GB2312"/>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kern w:val="0"/>
                <w:szCs w:val="21"/>
              </w:rPr>
            </w:pPr>
          </w:p>
        </w:tc>
        <w:tc>
          <w:tcPr>
            <w:tcW w:w="1220" w:type="dxa"/>
            <w:vMerge w:val="continue"/>
            <w:tcBorders>
              <w:top w:val="nil"/>
              <w:left w:val="nil"/>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小计</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ascii="Times New Roman" w:hAnsi="Times New Roman" w:eastAsia="仿宋_GB2312"/>
                <w:kern w:val="0"/>
                <w:szCs w:val="21"/>
              </w:rPr>
              <w:t>购置费</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ascii="Times New Roman" w:hAnsi="Times New Roman" w:eastAsia="仿宋_GB2312"/>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7</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8</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9</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10</w:t>
            </w:r>
          </w:p>
        </w:tc>
        <w:tc>
          <w:tcPr>
            <w:tcW w:w="12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11</w:t>
            </w:r>
          </w:p>
        </w:tc>
        <w:tc>
          <w:tcPr>
            <w:tcW w:w="122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nil"/>
              <w:bottom w:val="single" w:color="auto" w:sz="8" w:space="0"/>
              <w:right w:val="nil"/>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1220" w:type="dxa"/>
            <w:tcBorders>
              <w:top w:val="nil"/>
              <w:left w:val="single" w:color="auto" w:sz="4" w:space="0"/>
              <w:bottom w:val="single" w:color="auto" w:sz="8" w:space="0"/>
              <w:right w:val="single" w:color="auto" w:sz="8" w:space="0"/>
            </w:tcBorders>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r>
    </w:tbl>
    <w:p>
      <w:pPr>
        <w:widowControl/>
        <w:jc w:val="left"/>
        <w:rPr>
          <w:rFonts w:ascii="宋体" w:cs="宋体"/>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szCs w:val="24"/>
        </w:rPr>
        <w:br w:type="page"/>
      </w: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政府性基金预算财政拨款收入支出决算表</w:t>
      </w:r>
    </w:p>
    <w:p>
      <w:pPr>
        <w:widowControl/>
        <w:wordWrap w:val="0"/>
        <w:rPr>
          <w:rFonts w:ascii="Times New Roman" w:hAnsi="Times New Roman" w:eastAsia="仿宋_GB2312"/>
          <w:color w:val="000000"/>
          <w:kern w:val="0"/>
          <w:szCs w:val="21"/>
        </w:rPr>
      </w:pPr>
      <w:r>
        <w:rPr>
          <w:rFonts w:ascii="Times New Roman" w:hAnsi="Times New Roman" w:eastAsia="仿宋_GB2312"/>
          <w:color w:val="000000"/>
          <w:kern w:val="0"/>
          <w:szCs w:val="21"/>
        </w:rPr>
        <w:t>部门：                                                                                                          公开08表</w:t>
      </w:r>
    </w:p>
    <w:p>
      <w:pPr>
        <w:widowControl/>
        <w:ind w:firstLine="11970" w:firstLineChars="5700"/>
        <w:rPr>
          <w:rFonts w:ascii="Times New Roman" w:hAnsi="Times New Roman" w:eastAsia="仿宋_GB2312"/>
          <w:color w:val="000000"/>
          <w:kern w:val="0"/>
          <w:szCs w:val="21"/>
        </w:rPr>
      </w:pPr>
      <w:r>
        <w:rPr>
          <w:rFonts w:ascii="Times New Roman" w:hAnsi="Times New Roman" w:eastAsia="仿宋_GB2312"/>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项 目</w:t>
            </w:r>
          </w:p>
        </w:tc>
        <w:tc>
          <w:tcPr>
            <w:tcW w:w="200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年初结转和结余</w:t>
            </w:r>
          </w:p>
        </w:tc>
        <w:tc>
          <w:tcPr>
            <w:tcW w:w="200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本年收入</w:t>
            </w:r>
          </w:p>
        </w:tc>
        <w:tc>
          <w:tcPr>
            <w:tcW w:w="6000" w:type="dxa"/>
            <w:gridSpan w:val="3"/>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本年支出</w:t>
            </w:r>
          </w:p>
        </w:tc>
        <w:tc>
          <w:tcPr>
            <w:tcW w:w="200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功能分类科目编码</w:t>
            </w:r>
          </w:p>
        </w:tc>
        <w:tc>
          <w:tcPr>
            <w:tcW w:w="132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科目名称</w:t>
            </w:r>
          </w:p>
        </w:tc>
        <w:tc>
          <w:tcPr>
            <w:tcW w:w="2000" w:type="dxa"/>
            <w:vMerge w:val="continue"/>
            <w:noWrap/>
            <w:vAlign w:val="center"/>
          </w:tcPr>
          <w:p>
            <w:pPr>
              <w:widowControl/>
              <w:jc w:val="left"/>
              <w:rPr>
                <w:rFonts w:ascii="Times New Roman" w:hAnsi="Times New Roman" w:eastAsia="仿宋_GB2312"/>
                <w:b/>
                <w:kern w:val="0"/>
                <w:szCs w:val="21"/>
              </w:rPr>
            </w:pPr>
          </w:p>
        </w:tc>
        <w:tc>
          <w:tcPr>
            <w:tcW w:w="2000" w:type="dxa"/>
            <w:vMerge w:val="continue"/>
            <w:noWrap/>
            <w:vAlign w:val="center"/>
          </w:tcPr>
          <w:p>
            <w:pPr>
              <w:widowControl/>
              <w:jc w:val="left"/>
              <w:rPr>
                <w:rFonts w:ascii="Times New Roman" w:hAnsi="Times New Roman" w:eastAsia="仿宋_GB2312"/>
                <w:b/>
                <w:kern w:val="0"/>
                <w:szCs w:val="21"/>
              </w:rPr>
            </w:pPr>
          </w:p>
        </w:tc>
        <w:tc>
          <w:tcPr>
            <w:tcW w:w="200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小计</w:t>
            </w:r>
          </w:p>
        </w:tc>
        <w:tc>
          <w:tcPr>
            <w:tcW w:w="200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 xml:space="preserve">基本支出  </w:t>
            </w:r>
          </w:p>
        </w:tc>
        <w:tc>
          <w:tcPr>
            <w:tcW w:w="2000" w:type="dxa"/>
            <w:vMerge w:val="restart"/>
            <w:noWrap/>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项目支出</w:t>
            </w:r>
          </w:p>
        </w:tc>
        <w:tc>
          <w:tcPr>
            <w:tcW w:w="2000" w:type="dxa"/>
            <w:vMerge w:val="continue"/>
            <w:noWrap/>
            <w:vAlign w:val="center"/>
          </w:tcPr>
          <w:p>
            <w:pPr>
              <w:widowControl/>
              <w:jc w:val="left"/>
              <w:rPr>
                <w:rFonts w:ascii="Times New Roman" w:hAnsi="Times New Roman"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ign w:val="center"/>
          </w:tcPr>
          <w:p>
            <w:pPr>
              <w:widowControl/>
              <w:jc w:val="left"/>
              <w:rPr>
                <w:rFonts w:ascii="Times New Roman" w:hAnsi="Times New Roman" w:eastAsia="仿宋_GB2312"/>
                <w:kern w:val="0"/>
                <w:szCs w:val="21"/>
              </w:rPr>
            </w:pPr>
          </w:p>
        </w:tc>
        <w:tc>
          <w:tcPr>
            <w:tcW w:w="132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ign w:val="center"/>
          </w:tcPr>
          <w:p>
            <w:pPr>
              <w:widowControl/>
              <w:jc w:val="left"/>
              <w:rPr>
                <w:rFonts w:ascii="Times New Roman" w:hAnsi="Times New Roman" w:eastAsia="仿宋_GB2312"/>
                <w:kern w:val="0"/>
                <w:szCs w:val="21"/>
              </w:rPr>
            </w:pPr>
          </w:p>
        </w:tc>
        <w:tc>
          <w:tcPr>
            <w:tcW w:w="132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c>
          <w:tcPr>
            <w:tcW w:w="2000" w:type="dxa"/>
            <w:vMerge w:val="continue"/>
            <w:noWrap/>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栏次</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合计</w:t>
            </w:r>
          </w:p>
        </w:tc>
        <w:tc>
          <w:tcPr>
            <w:tcW w:w="2000" w:type="dxa"/>
            <w:noWrap/>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0</w:t>
            </w:r>
            <w:r>
              <w:rPr>
                <w:rFonts w:ascii="Times New Roman" w:hAnsi="Times New Roman" w:eastAsia="仿宋_GB2312"/>
                <w:kern w:val="0"/>
                <w:szCs w:val="21"/>
              </w:rPr>
              <w:t>　</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0</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center"/>
              <w:rPr>
                <w:rFonts w:ascii="Times New Roman" w:hAnsi="Times New Roman" w:eastAsia="仿宋_GB2312"/>
                <w:kern w:val="0"/>
                <w:szCs w:val="21"/>
              </w:rPr>
            </w:pPr>
            <w:r>
              <w:rPr>
                <w:rFonts w:hint="eastAsia" w:ascii="Times New Roman" w:hAnsi="Times New Roman" w:eastAsia="仿宋_GB2312"/>
                <w:color w:val="000000"/>
                <w:kern w:val="0"/>
                <w:szCs w:val="21"/>
              </w:rPr>
              <w:t>岳阳市二幼儿园</w:t>
            </w:r>
            <w:r>
              <w:rPr>
                <w:rFonts w:hint="eastAsia" w:ascii="Times New Roman" w:hAnsi="Times New Roman" w:eastAsia="仿宋_GB2312"/>
                <w:kern w:val="0"/>
                <w:szCs w:val="21"/>
              </w:rPr>
              <w:t>单位没有政府性基金收入，也没有使用政府性基金安排的支出，故本表无数据</w:t>
            </w:r>
            <w:r>
              <w:rPr>
                <w:rFonts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132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132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132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132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132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　</w:t>
            </w:r>
          </w:p>
        </w:tc>
        <w:tc>
          <w:tcPr>
            <w:tcW w:w="132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c>
          <w:tcPr>
            <w:tcW w:w="2000"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　</w:t>
            </w:r>
          </w:p>
        </w:tc>
      </w:tr>
    </w:tbl>
    <w:p>
      <w:pPr>
        <w:widowControl/>
        <w:jc w:val="left"/>
        <w:rPr>
          <w:rFonts w:ascii="Times New Roman" w:hAnsi="Times New Roman" w:eastAsia="仿宋_GB2312"/>
          <w:kern w:val="0"/>
          <w:szCs w:val="21"/>
        </w:rPr>
      </w:pPr>
      <w:r>
        <w:rPr>
          <w:rFonts w:ascii="Times New Roman" w:hAnsi="Times New Roman" w:eastAsia="仿宋_GB2312"/>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97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8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eastAsia="仿宋_GB2312" w:cs="宋体"/>
                <w:kern w:val="0"/>
                <w:sz w:val="24"/>
                <w:szCs w:val="24"/>
              </w:rPr>
            </w:pPr>
            <w:r>
              <w:rPr>
                <w:rFonts w:hint="eastAsia" w:ascii="宋体" w:hAnsi="宋体" w:cs="宋体"/>
                <w:kern w:val="0"/>
                <w:sz w:val="24"/>
                <w:szCs w:val="24"/>
              </w:rPr>
              <w:t>　</w:t>
            </w:r>
            <w:r>
              <w:rPr>
                <w:rFonts w:hint="eastAsia" w:ascii="宋体" w:hAnsi="宋体" w:cs="宋体"/>
                <w:kern w:val="0"/>
                <w:sz w:val="18"/>
                <w:szCs w:val="18"/>
              </w:rPr>
              <w:t>岳阳市二幼儿园</w:t>
            </w:r>
            <w:r>
              <w:rPr>
                <w:rFonts w:hint="eastAsia" w:ascii="Times New Roman" w:hAnsi="Times New Roman" w:eastAsia="仿宋_GB2312"/>
                <w:kern w:val="0"/>
                <w:szCs w:val="21"/>
              </w:rPr>
              <w:t>单位</w:t>
            </w:r>
            <w:r>
              <w:rPr>
                <w:rFonts w:ascii="Times New Roman" w:hAnsi="Times New Roman" w:eastAsia="仿宋_GB2312"/>
                <w:kern w:val="0"/>
                <w:szCs w:val="21"/>
              </w:rPr>
              <w:t>没有使用国有资本经营预算安排的支出，故本表无数据</w:t>
            </w:r>
            <w:r>
              <w:rPr>
                <w:rFonts w:hint="eastAsia" w:ascii="Times New Roman" w:hAnsi="Times New Roman" w:eastAsia="仿宋_GB2312"/>
                <w:kern w:val="0"/>
                <w:szCs w:val="21"/>
              </w:rPr>
              <w:t>。</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宋体" w:hAnsi="宋体" w:cs="宋体"/>
                <w:kern w:val="0"/>
                <w:sz w:val="24"/>
                <w:szCs w:val="24"/>
              </w:rPr>
            </w:pPr>
          </w:p>
        </w:tc>
      </w:tr>
    </w:tbl>
    <w:p>
      <w:pPr>
        <w:pStyle w:val="9"/>
        <w:rPr>
          <w:sz w:val="72"/>
          <w:szCs w:val="72"/>
        </w:rPr>
        <w:sectPr>
          <w:pgSz w:w="16838" w:h="11906" w:orient="landscape"/>
          <w:pgMar w:top="720" w:right="720" w:bottom="720" w:left="720" w:header="851" w:footer="992" w:gutter="0"/>
          <w:cols w:space="720"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宋体" w:hAnsi="宋体" w:eastAsia="宋体"/>
          <w:sz w:val="32"/>
          <w:szCs w:val="32"/>
        </w:rPr>
      </w:pPr>
      <w:r>
        <w:rPr>
          <w:rFonts w:hint="eastAsia" w:ascii="宋体" w:hAnsi="宋体" w:eastAsia="宋体"/>
          <w:sz w:val="32"/>
          <w:szCs w:val="32"/>
        </w:rPr>
        <w:t>2020年度收、支总计814.44万元，与上年相比，增加92.66万元，增长12.84%，主要是为提高办学教学水平，购置幼儿教学用具及器材。</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宋体" w:hAnsi="宋体" w:eastAsia="宋体"/>
          <w:sz w:val="32"/>
          <w:szCs w:val="32"/>
        </w:rPr>
      </w:pPr>
      <w:r>
        <w:rPr>
          <w:rFonts w:hint="eastAsia" w:ascii="宋体" w:hAnsi="宋体" w:eastAsia="宋体"/>
          <w:sz w:val="32"/>
          <w:szCs w:val="32"/>
        </w:rPr>
        <w:t>本年收入合计732.72万元（包含非税收入291.16万元），其中：财政拨款收入</w:t>
      </w:r>
      <w:r>
        <w:rPr>
          <w:rFonts w:hint="eastAsia" w:ascii="宋体" w:hAnsi="宋体" w:eastAsia="宋体"/>
          <w:color w:val="auto"/>
          <w:sz w:val="32"/>
          <w:szCs w:val="32"/>
        </w:rPr>
        <w:t>732.72</w:t>
      </w:r>
      <w:r>
        <w:rPr>
          <w:rFonts w:hint="eastAsia" w:ascii="宋体" w:hAnsi="宋体" w:eastAsia="宋体"/>
          <w:sz w:val="32"/>
          <w:szCs w:val="32"/>
        </w:rPr>
        <w:t>万元，占60.26%。</w:t>
      </w:r>
      <w:r>
        <w:rPr>
          <w:rFonts w:ascii="宋体" w:hAnsi="宋体" w:eastAsia="宋体"/>
          <w:sz w:val="32"/>
          <w:szCs w:val="32"/>
        </w:rPr>
        <w:t xml:space="preserve"> </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宋体" w:hAnsi="宋体" w:eastAsia="宋体"/>
          <w:sz w:val="32"/>
          <w:szCs w:val="32"/>
        </w:rPr>
      </w:pPr>
      <w:r>
        <w:rPr>
          <w:rFonts w:hint="eastAsia" w:ascii="宋体" w:hAnsi="宋体" w:eastAsia="宋体"/>
          <w:sz w:val="32"/>
          <w:szCs w:val="32"/>
        </w:rPr>
        <w:t>本年支出合计747.91万元（包含非税支出246.32万元），其中：基本支出589.61万元，占78.83%；项目支出158.3万元，占21.17%。</w:t>
      </w:r>
    </w:p>
    <w:p>
      <w:pPr>
        <w:pStyle w:val="9"/>
        <w:rPr>
          <w:rFonts w:hAnsi="黑体"/>
          <w:b/>
          <w:sz w:val="32"/>
          <w:szCs w:val="32"/>
        </w:rPr>
      </w:pPr>
      <w:r>
        <w:rPr>
          <w:rFonts w:hint="eastAsia" w:hAnsi="黑体"/>
          <w:b/>
          <w:sz w:val="32"/>
          <w:szCs w:val="32"/>
        </w:rPr>
        <w:t>四、财政拨款收入支出决算总体情况说明</w:t>
      </w:r>
    </w:p>
    <w:p>
      <w:pPr>
        <w:pStyle w:val="9"/>
        <w:rPr>
          <w:rFonts w:ascii="宋体" w:hAnsi="宋体" w:eastAsia="宋体"/>
          <w:sz w:val="32"/>
          <w:szCs w:val="32"/>
        </w:rPr>
      </w:pPr>
      <w:r>
        <w:rPr>
          <w:rFonts w:hint="eastAsia" w:ascii="宋体" w:hAnsi="宋体" w:eastAsia="宋体"/>
          <w:sz w:val="32"/>
          <w:szCs w:val="32"/>
        </w:rPr>
        <w:t xml:space="preserve">    2020年度财政拨款收、支总计814.44万元，与上年相比，增加92.66万元，增长12.84%，主要是为提高办学教学水平，幼儿教学用具及器材。</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9"/>
        <w:ind w:firstLine="800" w:firstLineChars="250"/>
        <w:rPr>
          <w:rFonts w:ascii="宋体" w:hAnsi="宋体" w:eastAsia="宋体"/>
          <w:sz w:val="32"/>
          <w:szCs w:val="32"/>
        </w:rPr>
      </w:pPr>
      <w:r>
        <w:rPr>
          <w:rFonts w:hint="eastAsia" w:ascii="宋体" w:hAnsi="宋体" w:eastAsia="宋体"/>
          <w:sz w:val="32"/>
          <w:szCs w:val="32"/>
        </w:rPr>
        <w:t>2020年度财政拨款支出747.91万元（包含非税支出246.32万元），占本年支出合计的100%，与上年相比，财政拨款支出增加99.6万元，增长15.36%，主要是因为支持学前教育发展资金的结转至2020年使用。</w:t>
      </w:r>
    </w:p>
    <w:p>
      <w:pPr>
        <w:pStyle w:val="9"/>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9"/>
        <w:ind w:firstLine="640" w:firstLineChars="200"/>
        <w:rPr>
          <w:rFonts w:ascii="宋体" w:hAnsi="宋体" w:eastAsia="宋体"/>
          <w:sz w:val="32"/>
          <w:szCs w:val="32"/>
        </w:rPr>
      </w:pPr>
      <w:r>
        <w:rPr>
          <w:rFonts w:hint="eastAsia" w:ascii="宋体" w:hAnsi="宋体" w:eastAsia="宋体"/>
          <w:sz w:val="32"/>
          <w:szCs w:val="32"/>
        </w:rPr>
        <w:t>2020年度财政拨款支出747.91万元，主要用于以下方面：教育（类）支出709.89万元，占94.92%;社会保障和就业支出26万元，占比3.47%；卫生健康支出12.02万元，占比1.61%。</w:t>
      </w:r>
    </w:p>
    <w:p>
      <w:pPr>
        <w:pStyle w:val="9"/>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9"/>
        <w:ind w:firstLine="800" w:firstLineChars="250"/>
        <w:rPr>
          <w:rFonts w:ascii="宋体" w:hAnsi="宋体" w:eastAsia="宋体"/>
          <w:sz w:val="32"/>
          <w:szCs w:val="32"/>
        </w:rPr>
      </w:pPr>
      <w:r>
        <w:rPr>
          <w:rFonts w:hint="eastAsia" w:ascii="宋体" w:hAnsi="宋体" w:eastAsia="宋体"/>
          <w:sz w:val="32"/>
          <w:szCs w:val="32"/>
        </w:rPr>
        <w:t>2020年度财政拨款支出年初预算数为546.87万元，支出决算数为747.91万元，完成年初预算的100%，其中：</w:t>
      </w:r>
    </w:p>
    <w:p>
      <w:pPr>
        <w:pStyle w:val="9"/>
        <w:numPr>
          <w:ilvl w:val="0"/>
          <w:numId w:val="3"/>
        </w:numPr>
        <w:ind w:firstLine="800" w:firstLineChars="250"/>
        <w:rPr>
          <w:rFonts w:ascii="宋体" w:hAnsi="宋体" w:eastAsia="宋体"/>
          <w:b/>
          <w:bCs/>
          <w:sz w:val="32"/>
          <w:szCs w:val="32"/>
        </w:rPr>
      </w:pPr>
      <w:r>
        <w:rPr>
          <w:rFonts w:hint="eastAsia" w:ascii="宋体" w:hAnsi="宋体" w:eastAsia="宋体"/>
          <w:b/>
          <w:bCs/>
          <w:sz w:val="32"/>
          <w:szCs w:val="32"/>
        </w:rPr>
        <w:t>教育支出（类）普通教育</w:t>
      </w:r>
      <w:r>
        <w:rPr>
          <w:rFonts w:hint="eastAsia" w:ascii="宋体" w:hAnsi="宋体" w:eastAsia="宋体"/>
          <w:b/>
          <w:bCs/>
          <w:color w:val="auto"/>
          <w:sz w:val="32"/>
          <w:szCs w:val="32"/>
        </w:rPr>
        <w:t>（款）</w:t>
      </w:r>
      <w:r>
        <w:rPr>
          <w:rFonts w:hint="eastAsia" w:ascii="宋体" w:hAnsi="宋体" w:eastAsia="宋体"/>
          <w:b/>
          <w:bCs/>
          <w:sz w:val="32"/>
          <w:szCs w:val="32"/>
        </w:rPr>
        <w:t>学前教育（项）</w:t>
      </w:r>
    </w:p>
    <w:p>
      <w:pPr>
        <w:pStyle w:val="9"/>
        <w:ind w:firstLine="640" w:firstLineChars="200"/>
        <w:rPr>
          <w:rFonts w:ascii="宋体" w:hAnsi="宋体" w:eastAsia="宋体"/>
          <w:sz w:val="32"/>
          <w:szCs w:val="32"/>
        </w:rPr>
      </w:pPr>
      <w:r>
        <w:rPr>
          <w:rFonts w:hint="eastAsia" w:ascii="宋体" w:hAnsi="宋体" w:eastAsia="宋体"/>
          <w:sz w:val="32"/>
          <w:szCs w:val="32"/>
        </w:rPr>
        <w:t>年初预算为478.66万元，支出决算为597.11万元，完成年初预算的88.38%，决算数大于年初预算数的主要原因是：支持学前教育发展中央资金和学前教育生均公用经费省级补助资金的增加。</w:t>
      </w:r>
    </w:p>
    <w:p>
      <w:pPr>
        <w:pStyle w:val="9"/>
        <w:numPr>
          <w:ilvl w:val="0"/>
          <w:numId w:val="3"/>
        </w:numPr>
        <w:ind w:firstLine="800" w:firstLineChars="250"/>
        <w:rPr>
          <w:rFonts w:ascii="宋体" w:hAnsi="宋体" w:eastAsia="宋体"/>
          <w:b/>
          <w:bCs/>
          <w:sz w:val="32"/>
          <w:szCs w:val="32"/>
        </w:rPr>
      </w:pPr>
      <w:r>
        <w:rPr>
          <w:rFonts w:hint="eastAsia" w:ascii="宋体" w:hAnsi="宋体" w:eastAsia="宋体"/>
          <w:b/>
          <w:bCs/>
          <w:sz w:val="32"/>
          <w:szCs w:val="32"/>
        </w:rPr>
        <w:t>教育支出（类）教育费附加安排的支出</w:t>
      </w:r>
      <w:r>
        <w:rPr>
          <w:rFonts w:hint="eastAsia" w:ascii="宋体" w:hAnsi="宋体" w:eastAsia="宋体"/>
          <w:b/>
          <w:bCs/>
          <w:color w:val="auto"/>
          <w:sz w:val="32"/>
          <w:szCs w:val="32"/>
        </w:rPr>
        <w:t>（款）</w:t>
      </w:r>
      <w:r>
        <w:rPr>
          <w:rFonts w:hint="eastAsia" w:ascii="宋体" w:hAnsi="宋体" w:eastAsia="宋体"/>
          <w:b/>
          <w:bCs/>
          <w:sz w:val="32"/>
          <w:szCs w:val="32"/>
        </w:rPr>
        <w:t>其他教育费附加安排的支出</w:t>
      </w:r>
    </w:p>
    <w:p>
      <w:pPr>
        <w:pStyle w:val="9"/>
        <w:ind w:left="525" w:leftChars="250"/>
        <w:rPr>
          <w:rFonts w:ascii="宋体" w:hAnsi="宋体" w:eastAsia="宋体"/>
          <w:sz w:val="32"/>
          <w:szCs w:val="32"/>
        </w:rPr>
      </w:pPr>
      <w:r>
        <w:rPr>
          <w:rFonts w:hint="eastAsia" w:ascii="宋体" w:hAnsi="宋体" w:eastAsia="宋体"/>
          <w:sz w:val="32"/>
          <w:szCs w:val="32"/>
        </w:rPr>
        <w:t>年初预算为0万元，支出决算为112.78万元，决算数大于年初预算数的主</w:t>
      </w:r>
    </w:p>
    <w:p>
      <w:pPr>
        <w:pStyle w:val="9"/>
        <w:rPr>
          <w:rFonts w:ascii="宋体" w:hAnsi="宋体" w:eastAsia="宋体"/>
          <w:sz w:val="32"/>
          <w:szCs w:val="32"/>
        </w:rPr>
      </w:pPr>
      <w:r>
        <w:rPr>
          <w:rFonts w:hint="eastAsia" w:ascii="宋体" w:hAnsi="宋体" w:eastAsia="宋体"/>
          <w:sz w:val="32"/>
          <w:szCs w:val="32"/>
        </w:rPr>
        <w:t>要原因是：财政追加安排综治绩效考核奖等。</w:t>
      </w:r>
    </w:p>
    <w:p>
      <w:pPr>
        <w:pStyle w:val="10"/>
        <w:shd w:val="clear" w:color="auto" w:fill="FFFFFF"/>
        <w:spacing w:before="0" w:beforeAutospacing="0" w:after="0" w:afterAutospacing="0" w:line="450" w:lineRule="atLeast"/>
        <w:ind w:firstLine="960" w:firstLineChars="300"/>
        <w:jc w:val="both"/>
        <w:rPr>
          <w:rFonts w:cs="黑体"/>
          <w:b/>
          <w:bCs/>
          <w:color w:val="000000"/>
          <w:sz w:val="32"/>
          <w:szCs w:val="32"/>
        </w:rPr>
      </w:pPr>
      <w:r>
        <w:rPr>
          <w:rFonts w:hint="eastAsia" w:ascii="仿宋_GB2312" w:hAnsi="Times New Roman" w:eastAsia="仿宋_GB2312" w:cs="Times New Roman"/>
          <w:b/>
          <w:bCs/>
          <w:color w:val="000000"/>
          <w:sz w:val="32"/>
          <w:szCs w:val="32"/>
        </w:rPr>
        <w:t>3</w:t>
      </w:r>
      <w:r>
        <w:rPr>
          <w:rFonts w:hint="eastAsia" w:cs="黑体"/>
          <w:b/>
          <w:bCs/>
          <w:color w:val="000000"/>
          <w:sz w:val="32"/>
          <w:szCs w:val="32"/>
        </w:rPr>
        <w:t>、社会保障和就业支出（类）行政事业单位养老支出（款）机关事业单位基本养老保险缴费支出（项）</w:t>
      </w:r>
    </w:p>
    <w:p>
      <w:pPr>
        <w:pStyle w:val="9"/>
        <w:ind w:firstLine="960" w:firstLineChars="300"/>
        <w:rPr>
          <w:rFonts w:ascii="宋体" w:hAnsi="宋体" w:eastAsia="宋体"/>
          <w:sz w:val="32"/>
          <w:szCs w:val="32"/>
        </w:rPr>
      </w:pPr>
      <w:r>
        <w:rPr>
          <w:rFonts w:hint="eastAsia" w:ascii="宋体" w:hAnsi="宋体" w:eastAsia="宋体"/>
          <w:sz w:val="32"/>
          <w:szCs w:val="32"/>
        </w:rPr>
        <w:t>年初预算为26万元，支出决算为26万元，完成年初预算的100%，预决算数无差异。</w:t>
      </w:r>
    </w:p>
    <w:p>
      <w:pPr>
        <w:pStyle w:val="10"/>
        <w:shd w:val="clear" w:color="auto" w:fill="FFFFFF"/>
        <w:spacing w:before="0" w:beforeAutospacing="0" w:after="0" w:afterAutospacing="0" w:line="450" w:lineRule="atLeast"/>
        <w:ind w:firstLine="624"/>
        <w:jc w:val="both"/>
        <w:rPr>
          <w:rFonts w:cs="黑体"/>
          <w:b/>
          <w:bCs/>
          <w:color w:val="000000"/>
          <w:sz w:val="32"/>
          <w:szCs w:val="32"/>
        </w:rPr>
      </w:pPr>
      <w:r>
        <w:rPr>
          <w:rFonts w:hint="eastAsia" w:cs="黑体"/>
          <w:b/>
          <w:bCs/>
          <w:color w:val="000000"/>
          <w:sz w:val="32"/>
          <w:szCs w:val="32"/>
        </w:rPr>
        <w:t xml:space="preserve"> 4.卫生健康支出（类）行政事业单位医疗（款）事业单位医疗（项）</w:t>
      </w:r>
    </w:p>
    <w:p>
      <w:pPr>
        <w:pStyle w:val="9"/>
        <w:ind w:firstLine="960" w:firstLineChars="300"/>
        <w:rPr>
          <w:rFonts w:ascii="宋体" w:hAnsi="宋体" w:eastAsia="宋体"/>
          <w:sz w:val="32"/>
          <w:szCs w:val="32"/>
        </w:rPr>
      </w:pPr>
      <w:r>
        <w:rPr>
          <w:rFonts w:hint="eastAsia" w:ascii="宋体" w:hAnsi="宋体" w:eastAsia="宋体"/>
          <w:sz w:val="32"/>
          <w:szCs w:val="32"/>
        </w:rPr>
        <w:t>年初预算为12.02万元，支出决算为12.02万元，完成年初预算的100%。预决算数无差异。</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宋体" w:hAnsi="宋体" w:eastAsia="宋体"/>
          <w:sz w:val="32"/>
          <w:szCs w:val="32"/>
        </w:rPr>
      </w:pPr>
      <w:r>
        <w:rPr>
          <w:rFonts w:hint="eastAsia" w:ascii="宋体" w:hAnsi="宋体" w:eastAsia="宋体"/>
          <w:sz w:val="32"/>
          <w:szCs w:val="32"/>
        </w:rPr>
        <w:t>2020年度财政拨款基本支出589.61万元，其中：人员经费405.86万元，占基本支出的68.83%,主要包括基本工资、奖金、伙食补助费、绩效工资、机关事业单位基本养老保险等；公用经费183.74万元，占基本支出的31.17%，主要包括办公费、印刷费、咨询费、手续费、水电费、劳务费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9"/>
        <w:ind w:firstLine="640" w:firstLineChars="200"/>
        <w:rPr>
          <w:rFonts w:ascii="宋体" w:hAnsi="宋体" w:eastAsia="宋体"/>
          <w:bCs/>
          <w:sz w:val="32"/>
          <w:szCs w:val="32"/>
        </w:rPr>
      </w:pPr>
      <w:r>
        <w:rPr>
          <w:rFonts w:hint="eastAsia" w:ascii="宋体" w:hAnsi="宋体" w:eastAsia="宋体"/>
          <w:bCs/>
          <w:sz w:val="32"/>
          <w:szCs w:val="32"/>
        </w:rPr>
        <w:t>“三公”经费财政拨款支出预算为0万元，支出决算为0万元，完成预算的0%，其中：</w:t>
      </w:r>
    </w:p>
    <w:p>
      <w:pPr>
        <w:pStyle w:val="9"/>
        <w:ind w:firstLine="960"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决算数与预算数一致为0的主要原因是单位无因公出国（境）预算安排和支出，与上年相比无变化，主要原因是单位近两年均无因公出国（境）预算安排和支出。</w:t>
      </w:r>
    </w:p>
    <w:p>
      <w:pPr>
        <w:pStyle w:val="9"/>
        <w:ind w:firstLine="960" w:firstLineChars="300"/>
        <w:rPr>
          <w:rFonts w:ascii="宋体" w:hAnsi="宋体" w:eastAsia="宋体"/>
          <w:bCs/>
          <w:sz w:val="32"/>
          <w:szCs w:val="32"/>
        </w:rPr>
      </w:pPr>
      <w:r>
        <w:rPr>
          <w:rFonts w:hint="eastAsia" w:ascii="宋体" w:hAnsi="宋体" w:eastAsia="宋体"/>
          <w:bCs/>
          <w:sz w:val="32"/>
          <w:szCs w:val="32"/>
        </w:rPr>
        <w:t>公务接待费支出预算为0万元，支出决算为0万元。决算数与预算数一致为0的主要原因是单位厉行节约，与上年相比无变化，主要原因是单位一直厉行节约，严控公务接待。</w:t>
      </w:r>
    </w:p>
    <w:p>
      <w:pPr>
        <w:pStyle w:val="9"/>
        <w:ind w:firstLine="960" w:firstLineChars="300"/>
        <w:rPr>
          <w:rFonts w:ascii="宋体" w:hAnsi="宋体" w:eastAsia="宋体"/>
          <w:bCs/>
          <w:sz w:val="32"/>
          <w:szCs w:val="32"/>
        </w:rPr>
      </w:pPr>
      <w:r>
        <w:rPr>
          <w:rFonts w:hint="eastAsia" w:ascii="宋体" w:hAnsi="宋体" w:eastAsia="宋体"/>
          <w:bCs/>
          <w:sz w:val="32"/>
          <w:szCs w:val="32"/>
        </w:rPr>
        <w:t>公务用车购置费及运行维护费支出预算为0万元，支出决算为0万元，决算数与预算数一致为0的主要原因是单位无公车，与上年相比无变化，主要原因是单位近两年均无公车。</w:t>
      </w:r>
    </w:p>
    <w:p>
      <w:pPr>
        <w:pStyle w:val="9"/>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9"/>
        <w:ind w:firstLine="640" w:firstLineChars="200"/>
        <w:rPr>
          <w:rFonts w:ascii="宋体" w:hAnsi="宋体" w:eastAsia="宋体"/>
          <w:sz w:val="32"/>
          <w:szCs w:val="32"/>
        </w:rPr>
      </w:pPr>
      <w:r>
        <w:rPr>
          <w:rFonts w:hint="eastAsia" w:ascii="宋体" w:hAnsi="宋体" w:eastAsia="宋体"/>
          <w:sz w:val="32"/>
          <w:szCs w:val="32"/>
        </w:rPr>
        <w:t>2020年度“三公”经费财政拨款支出决算中，公务接待费支出决算0万元，占0%,因公出国（境）费支出决算0万元，占0%,公务用车购置费及运行维护费支出决算0万元，占0%。其中：</w:t>
      </w:r>
    </w:p>
    <w:p>
      <w:pPr>
        <w:pStyle w:val="9"/>
        <w:ind w:firstLine="640" w:firstLineChars="200"/>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9"/>
        <w:ind w:firstLine="800" w:firstLineChars="250"/>
        <w:rPr>
          <w:rFonts w:ascii="宋体" w:hAnsi="宋体" w:eastAsia="宋体"/>
          <w:sz w:val="32"/>
          <w:szCs w:val="32"/>
        </w:rPr>
      </w:pPr>
      <w:r>
        <w:rPr>
          <w:rFonts w:hint="eastAsia" w:ascii="宋体" w:hAnsi="宋体" w:eastAsia="宋体"/>
          <w:sz w:val="32"/>
          <w:szCs w:val="32"/>
        </w:rPr>
        <w:t>2、公务接待费支出决算为0万元，全年共接待来访团组0个、来宾0人次。</w:t>
      </w:r>
    </w:p>
    <w:p>
      <w:pPr>
        <w:ind w:firstLine="800" w:firstLineChars="250"/>
        <w:rPr>
          <w:rFonts w:ascii="宋体" w:hAnsi="宋体"/>
          <w:b/>
          <w:sz w:val="32"/>
          <w:szCs w:val="32"/>
        </w:rPr>
      </w:pPr>
      <w:r>
        <w:rPr>
          <w:rFonts w:hint="eastAsia" w:ascii="宋体" w:hAnsi="宋体"/>
          <w:sz w:val="32"/>
          <w:szCs w:val="32"/>
        </w:rPr>
        <w:t>3、公务用车购置费及运行维护费支出决算为0万元，其中：公务用车购置费0万元，更新公务用车0辆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公务用车运行维护费0万元，截止2020年12月31日，我单位开支财政拨款的公务用车保有量为0辆。当年没有购置公务用车。</w:t>
      </w:r>
    </w:p>
    <w:p>
      <w:pPr>
        <w:pStyle w:val="9"/>
        <w:rPr>
          <w:rFonts w:hAnsi="黑体"/>
          <w:b/>
          <w:sz w:val="32"/>
          <w:szCs w:val="32"/>
        </w:rPr>
      </w:pPr>
      <w:r>
        <w:rPr>
          <w:rFonts w:hint="eastAsia" w:hAnsi="黑体"/>
          <w:b/>
          <w:sz w:val="32"/>
          <w:szCs w:val="32"/>
        </w:rPr>
        <w:t>八、政府性基金预算收入支出决算情况</w:t>
      </w:r>
    </w:p>
    <w:p>
      <w:pPr>
        <w:pStyle w:val="9"/>
        <w:rPr>
          <w:rFonts w:ascii="宋体" w:hAnsi="宋体" w:eastAsia="宋体"/>
          <w:i/>
          <w:color w:val="FF0000"/>
          <w:sz w:val="32"/>
          <w:szCs w:val="32"/>
        </w:rPr>
      </w:pPr>
      <w:r>
        <w:rPr>
          <w:rFonts w:hint="eastAsia" w:ascii="宋体" w:hAnsi="宋体" w:eastAsia="宋体"/>
          <w:sz w:val="32"/>
          <w:szCs w:val="32"/>
        </w:rPr>
        <w:t xml:space="preserve">      2020年度政府性基金预算财政拨款收入0万元；年初结转和结余0万元；支出0万元，其中基本支出0万元，项目支出0万元；年末结转和结余0万元。本单位无政府性基金收支。</w:t>
      </w:r>
    </w:p>
    <w:p>
      <w:pPr>
        <w:pStyle w:val="9"/>
        <w:rPr>
          <w:rFonts w:hAnsi="黑体"/>
          <w:b/>
          <w:sz w:val="32"/>
          <w:szCs w:val="32"/>
        </w:rPr>
      </w:pPr>
      <w:r>
        <w:rPr>
          <w:rFonts w:hint="eastAsia" w:hAnsi="黑体"/>
          <w:b/>
          <w:sz w:val="32"/>
          <w:szCs w:val="32"/>
        </w:rPr>
        <w:t>九、国有资本经营预算财政拨款支出决算情况</w:t>
      </w:r>
    </w:p>
    <w:p>
      <w:pPr>
        <w:pStyle w:val="9"/>
        <w:ind w:firstLine="640"/>
        <w:rPr>
          <w:rFonts w:ascii="宋体" w:hAnsi="宋体"/>
          <w:sz w:val="32"/>
          <w:szCs w:val="32"/>
        </w:rPr>
      </w:pPr>
      <w:r>
        <w:rPr>
          <w:rFonts w:hint="eastAsia" w:ascii="宋体" w:hAnsi="宋体" w:eastAsia="宋体"/>
          <w:sz w:val="32"/>
          <w:szCs w:val="32"/>
        </w:rPr>
        <w:t>2020年度国有资本经营预算财政拨款支出0万元，其中基本支出0万元，项目支出0万元。本单位无国有资本经营预算财政拨款支出。</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ascii="宋体" w:hAnsi="宋体" w:eastAsia="宋体"/>
          <w:sz w:val="32"/>
          <w:szCs w:val="32"/>
        </w:rPr>
      </w:pPr>
      <w:r>
        <w:rPr>
          <w:rFonts w:hint="eastAsia" w:ascii="宋体" w:hAnsi="宋体" w:eastAsia="宋体"/>
          <w:sz w:val="32"/>
          <w:szCs w:val="32"/>
        </w:rPr>
        <w:t>本部门2020年度机关运行经费支出0万元，比上年决算数无变化，主要原因是我单位非行政单位和参照公务员法管理事业单位。</w:t>
      </w:r>
    </w:p>
    <w:p>
      <w:pPr>
        <w:pStyle w:val="9"/>
        <w:rPr>
          <w:rFonts w:hAnsi="黑体"/>
          <w:b/>
          <w:sz w:val="32"/>
          <w:szCs w:val="32"/>
        </w:rPr>
      </w:pPr>
      <w:r>
        <w:rPr>
          <w:rFonts w:hint="eastAsia" w:hAnsi="黑体"/>
          <w:b/>
          <w:sz w:val="32"/>
          <w:szCs w:val="32"/>
        </w:rPr>
        <w:t>十一、一般性支出情况</w:t>
      </w:r>
    </w:p>
    <w:p>
      <w:pPr>
        <w:widowControl/>
        <w:shd w:val="clear" w:color="auto" w:fill="FFFFFF"/>
        <w:ind w:firstLine="640" w:firstLineChars="200"/>
        <w:rPr>
          <w:rFonts w:ascii="宋体" w:hAnsi="宋体"/>
          <w:color w:val="000000"/>
          <w:sz w:val="32"/>
          <w:szCs w:val="32"/>
        </w:rPr>
      </w:pPr>
      <w:r>
        <w:rPr>
          <w:rFonts w:hint="eastAsia" w:ascii="宋体" w:hAnsi="宋体" w:cs="黑体"/>
          <w:color w:val="000000"/>
          <w:kern w:val="0"/>
          <w:sz w:val="32"/>
          <w:szCs w:val="32"/>
        </w:rPr>
        <w:t>2020年本部门开支会议费0万元，未召开会议，人数0人；开支培训费1万元，用于开展教师培训，人数30人，内容为教师业务提升；未举办节庆、晚会、论坛、赛事活动，开支0万元。</w:t>
      </w:r>
    </w:p>
    <w:p>
      <w:pPr>
        <w:pStyle w:val="9"/>
        <w:numPr>
          <w:ilvl w:val="0"/>
          <w:numId w:val="4"/>
        </w:numPr>
        <w:rPr>
          <w:rFonts w:hAnsi="黑体"/>
          <w:b/>
          <w:sz w:val="32"/>
          <w:szCs w:val="32"/>
        </w:rPr>
      </w:pPr>
      <w:r>
        <w:rPr>
          <w:rFonts w:hint="eastAsia" w:hAnsi="黑体"/>
          <w:b/>
          <w:sz w:val="32"/>
          <w:szCs w:val="32"/>
        </w:rPr>
        <w:t>关于政府采购支出说明</w:t>
      </w:r>
    </w:p>
    <w:p>
      <w:pPr>
        <w:pStyle w:val="9"/>
        <w:ind w:firstLine="640" w:firstLineChars="200"/>
        <w:rPr>
          <w:rFonts w:ascii="宋体" w:hAnsi="宋体" w:eastAsia="宋体"/>
          <w:sz w:val="32"/>
          <w:szCs w:val="32"/>
        </w:rPr>
      </w:pPr>
      <w:r>
        <w:rPr>
          <w:rFonts w:hint="eastAsia" w:ascii="宋体" w:hAnsi="宋体" w:eastAsia="宋体"/>
          <w:sz w:val="32"/>
          <w:szCs w:val="32"/>
        </w:rPr>
        <w:t>本部门2020年度政府采购支出总额0万元，其中：政府采购货物支出0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ind w:firstLine="640" w:firstLineChars="200"/>
        <w:rPr>
          <w:rFonts w:hAnsi="黑体"/>
          <w:b/>
          <w:sz w:val="32"/>
          <w:szCs w:val="32"/>
        </w:rPr>
      </w:pPr>
      <w:r>
        <w:rPr>
          <w:rFonts w:hint="eastAsia" w:hAnsi="黑体"/>
          <w:b/>
          <w:sz w:val="32"/>
          <w:szCs w:val="32"/>
        </w:rPr>
        <w:t>十三、关于国有资产占用情况说明</w:t>
      </w:r>
    </w:p>
    <w:p>
      <w:pPr>
        <w:pStyle w:val="9"/>
        <w:ind w:firstLine="640" w:firstLineChars="200"/>
        <w:rPr>
          <w:rFonts w:ascii="宋体" w:hAnsi="宋体" w:eastAsia="宋体"/>
          <w:sz w:val="32"/>
          <w:szCs w:val="32"/>
        </w:rPr>
      </w:pPr>
      <w:r>
        <w:rPr>
          <w:rFonts w:hint="eastAsia" w:ascii="宋体" w:hAnsi="宋体" w:eastAsia="宋体"/>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ind w:firstLine="640" w:firstLineChars="200"/>
        <w:rPr>
          <w:rFonts w:ascii="宋体" w:hAnsi="宋体" w:eastAsia="宋体"/>
          <w:sz w:val="32"/>
          <w:szCs w:val="32"/>
        </w:rPr>
      </w:pPr>
    </w:p>
    <w:p>
      <w:pPr>
        <w:pStyle w:val="9"/>
        <w:rPr>
          <w:rFonts w:hAnsi="黑体"/>
          <w:b/>
          <w:sz w:val="32"/>
          <w:szCs w:val="32"/>
        </w:rPr>
      </w:pPr>
      <w:r>
        <w:rPr>
          <w:rFonts w:hint="eastAsia" w:hAnsi="黑体"/>
          <w:b/>
          <w:sz w:val="32"/>
          <w:szCs w:val="32"/>
        </w:rPr>
        <w:t>十四、关于2020年度预算绩效情况的说明</w:t>
      </w:r>
    </w:p>
    <w:p>
      <w:pPr>
        <w:pStyle w:val="9"/>
        <w:rPr>
          <w:rFonts w:hAnsi="黑体" w:eastAsia="宋体"/>
          <w:b/>
          <w:sz w:val="32"/>
          <w:szCs w:val="32"/>
        </w:rPr>
      </w:pPr>
      <w:r>
        <w:rPr>
          <w:rFonts w:hint="eastAsia" w:ascii="宋体" w:hAnsi="宋体" w:eastAsia="宋体"/>
          <w:sz w:val="32"/>
          <w:szCs w:val="32"/>
        </w:rPr>
        <w:t>本部门所有支出实行绩效目标管理，按照财政绩效部门要求已公开，详情见第五部分附件。</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ind w:firstLine="3600" w:firstLineChars="500"/>
        <w:jc w:val="both"/>
        <w:rPr>
          <w:sz w:val="70"/>
          <w:szCs w:val="70"/>
        </w:rPr>
      </w:pPr>
      <w:r>
        <w:rPr>
          <w:rFonts w:hint="eastAsia"/>
          <w:sz w:val="72"/>
          <w:szCs w:val="72"/>
        </w:rPr>
        <w:t>第四部分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财政拨款收入：指本级财政当年拨付的资金。</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其他收入：指除上述“财政拨款收入”、“上级补助收入”、“事业收入”、“经营收入”、“附属单位上缴收入”等以外的收入。</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上年结转和结余：指以前年度尚未完成、结转到本年按有关规定继续使用的资金。</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年末结转和结余资金：指本年度或以前年度预算安排、因客观条件发生变化无法按原计划实施，需要延迟到以后年度按有关规定继续使用的资金。</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公共安全支出（类）：是指用于内卫、消防等武装警察部队的支出，包括保障机构正常运转、完成日常和特定的工作任务或事业发展目标的支出。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科学技术支出（类）：是指用于科学技术方面的支出，包括保障机构正常运转、完成日常和特定的工作任务或事业发展目标的支出。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城乡社区支出（类）：是指用于城乡社区事务支出，包括保障机构正常运转、完成日常和特定的工作任务或事业发展目标的支出。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农林水支出（类）：是指用于农林水事务支出，包括保障机构正常运转、完成日常和特定的工作任务或事业发展目标的支出。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基本支出：指保障机构正常运转、完成支日常工作任务而发生的人员支出和公用支出。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项目支出：指在基本支出之外为完成特定行政任务和事业发展目标所发生的支出。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工资福利支出：反映单位开支的在职职工和编制外长期聘用人员的各类劳动报酬，以及为上述人员缴纳的各项社会保险费等。</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奖金：反映机关工作人员年终一次性奖金。</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其他社会保障缴费：反映单位为职工缴纳的基本医疗、失业、工伤、生育等社会保险费，残疾人就业保障金，军队（含武警）为军人缴纳的伤亡、退役医疗等社会保险费。</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机关事业单位基本养老保险缴费：反映机关事业单位缴纳的基本养老保险费。由单位代扣的工作人员基本养老保险缴费，不在此科目反映。</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商品和服务支出：反映单位购买商品和服务的支出（不包括用于购置固定资产的支出、战略性和应急储备支出）。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工会经费：反映单位按规定提取的工会经费。</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公务用车运行维护费：反映单位按规定保留的公务用车燃料费、维修费、过桥过路费、保险费、安全奖励费用等支出。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对个人和家庭的补助：反映政府用于对个人和家庭的补助支出。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退休费：反映行政事业单位和军队移交政府安置的退休人员的退休费和其他补贴。</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 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ind w:firstLine="640" w:firstLineChars="200"/>
        <w:jc w:val="left"/>
        <w:rPr>
          <w:rFonts w:ascii="宋体" w:hAnsi="宋体"/>
          <w:sz w:val="32"/>
          <w:szCs w:val="32"/>
        </w:rPr>
      </w:pPr>
      <w:r>
        <w:rPr>
          <w:rFonts w:hint="eastAsia" w:ascii="宋体" w:hAnsi="宋体"/>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9"/>
        <w:jc w:val="center"/>
        <w:rPr>
          <w:rFonts w:ascii="宋体" w:hAnsi="宋体" w:eastAsia="宋体"/>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2020年度部门整体支出绩效评价报告</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（一）学校基本情况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1.机构情况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岳阳市二幼儿园由3个小班4个中班和4个大班组成的三年制学前教育，由岳阳市教育体育局直接管理的市直学校，组织机构1个，为财政全额补助拨款单位，按要求实施财务独立核算。幼儿园的职责职能是贯彻国家的教育方针,按照保育与教育相结合的原则,遵循幼儿身心发展特点和规律,实施德、智、体、美等方面全面发展的教育,促进幼儿身心和谐发展。幼儿园同时面向幼儿家长提供科学育儿指导。</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2.人员情况</w:t>
      </w:r>
    </w:p>
    <w:p>
      <w:pPr>
        <w:spacing w:line="440" w:lineRule="exact"/>
        <w:ind w:firstLine="560" w:firstLineChars="200"/>
        <w:rPr>
          <w:rFonts w:ascii="宋体" w:hAnsi="宋体" w:cs="黑体"/>
          <w:color w:val="000000"/>
          <w:kern w:val="0"/>
          <w:sz w:val="28"/>
          <w:szCs w:val="28"/>
        </w:rPr>
      </w:pPr>
      <w:r>
        <w:rPr>
          <w:rFonts w:hint="eastAsia" w:ascii="宋体" w:hAnsi="宋体" w:cs="宋体"/>
          <w:sz w:val="28"/>
          <w:szCs w:val="28"/>
        </w:rPr>
        <w:t>我园共有教职员工51人，在编人员26人，劳务派遣人员26人，其中园长1名，副园长2名，行政老师5名，专任教师23名，保育教师11名，厨房5名，保安2名，（2个休病长假，2个在办理去教育局手续中）。</w:t>
      </w:r>
      <w:r>
        <w:rPr>
          <w:rFonts w:hint="eastAsia" w:ascii="宋体" w:hAnsi="宋体" w:cs="黑体"/>
          <w:color w:val="000000"/>
          <w:kern w:val="0"/>
          <w:sz w:val="28"/>
          <w:szCs w:val="28"/>
        </w:rPr>
        <w:t>年末在校学生数为428人 。</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（二）学校职能职责</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1、对辖区内幼儿实行保教结合全面发展的教育；2：面向幼儿家长提供科学育儿指导；3：严格管理园内各项开支，控制三公经费支出，专款专用；4、保障教职员工的工资福利待遇，保证幼儿园各项工作顺利开展；5、保障全体师生安全。</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（三）年度工作内容</w:t>
      </w:r>
    </w:p>
    <w:p>
      <w:pPr>
        <w:spacing w:line="440" w:lineRule="exact"/>
        <w:ind w:firstLine="280" w:firstLineChars="100"/>
        <w:rPr>
          <w:sz w:val="28"/>
          <w:szCs w:val="28"/>
        </w:rPr>
      </w:pPr>
      <w:r>
        <w:rPr>
          <w:rFonts w:hint="eastAsia"/>
          <w:sz w:val="28"/>
          <w:szCs w:val="28"/>
        </w:rPr>
        <w:t>一、开展多项教师培训活动。</w:t>
      </w:r>
    </w:p>
    <w:p>
      <w:pPr>
        <w:spacing w:line="440" w:lineRule="exact"/>
        <w:ind w:firstLine="560" w:firstLineChars="200"/>
        <w:rPr>
          <w:sz w:val="28"/>
          <w:szCs w:val="28"/>
        </w:rPr>
      </w:pPr>
      <w:r>
        <w:rPr>
          <w:rFonts w:hint="eastAsia"/>
          <w:sz w:val="28"/>
          <w:szCs w:val="28"/>
        </w:rPr>
        <w:t>今年是疫情防控年，我们从疫情防控现状出发，制定了有针对性地师资培训计划。开学后，我们每周定期进行两次教研活动，组织教师进行教育理论及业务学习。在此基础上,我们还通过师徒结对、网上集体备课等途径让教师切实感受主动学习、开拓创新的积极氛围。</w:t>
      </w:r>
    </w:p>
    <w:p>
      <w:pPr>
        <w:spacing w:line="440" w:lineRule="exact"/>
        <w:ind w:firstLine="280" w:firstLineChars="100"/>
        <w:rPr>
          <w:sz w:val="28"/>
          <w:szCs w:val="28"/>
        </w:rPr>
      </w:pPr>
      <w:r>
        <w:rPr>
          <w:rFonts w:hint="eastAsia"/>
          <w:sz w:val="28"/>
          <w:szCs w:val="28"/>
        </w:rPr>
        <w:t>二、开展系列教师比武活动。</w:t>
      </w:r>
    </w:p>
    <w:p>
      <w:pPr>
        <w:spacing w:line="440" w:lineRule="exact"/>
        <w:ind w:firstLine="560" w:firstLineChars="200"/>
        <w:rPr>
          <w:sz w:val="28"/>
          <w:szCs w:val="28"/>
        </w:rPr>
      </w:pPr>
      <w:r>
        <w:rPr>
          <w:rFonts w:hint="eastAsia"/>
          <w:sz w:val="28"/>
          <w:szCs w:val="28"/>
        </w:rPr>
        <w:t>为全面提高教师的专业技能和综合素质，我们组织全体教师进行了五项技能比赛、教师朗诵比赛、第一届“江豚杯”赛课活动及系列教师比武活动。系列比武活动给教师提供了展示自己的机会，提高了教师的技能水平。</w:t>
      </w:r>
    </w:p>
    <w:p>
      <w:pPr>
        <w:numPr>
          <w:ilvl w:val="0"/>
          <w:numId w:val="5"/>
        </w:numPr>
        <w:spacing w:line="440" w:lineRule="exact"/>
        <w:rPr>
          <w:sz w:val="28"/>
          <w:szCs w:val="28"/>
        </w:rPr>
      </w:pPr>
      <w:r>
        <w:rPr>
          <w:rFonts w:hint="eastAsia"/>
          <w:sz w:val="28"/>
          <w:szCs w:val="28"/>
        </w:rPr>
        <w:t>坚持“引进来，走出去”学习方式。</w:t>
      </w:r>
    </w:p>
    <w:p>
      <w:pPr>
        <w:spacing w:line="440" w:lineRule="exact"/>
        <w:ind w:firstLine="560" w:firstLineChars="200"/>
        <w:rPr>
          <w:sz w:val="28"/>
          <w:szCs w:val="28"/>
        </w:rPr>
      </w:pPr>
      <w:r>
        <w:rPr>
          <w:rFonts w:hint="eastAsia"/>
          <w:sz w:val="28"/>
          <w:szCs w:val="28"/>
        </w:rPr>
        <w:t>“引进来”我园积极组织国培观摩接待工作，在观摩实践中汲取新思想、新做法，从而达到促进本园教育教学的改革的目的。“走出去” 我们进行了多次送教活动，分别在永州、怀化进行了国培送教以及在湘阴、岳阳县进行了送教下乡活动。大家准备充足，带着希望而去，带着喜悦而归。出去参加国培及其他培训学习的老师们也带回了不少新的思想、新的知识，老师们在共同学习中不断的感悟，不断的提升。</w:t>
      </w:r>
    </w:p>
    <w:p>
      <w:pPr>
        <w:spacing w:line="440" w:lineRule="exact"/>
        <w:rPr>
          <w:sz w:val="28"/>
          <w:szCs w:val="28"/>
        </w:rPr>
      </w:pPr>
      <w:r>
        <w:rPr>
          <w:rFonts w:hint="eastAsia"/>
          <w:sz w:val="28"/>
          <w:szCs w:val="28"/>
        </w:rPr>
        <w:t>明确新定位，着力推进我园“三园”建设</w:t>
      </w:r>
    </w:p>
    <w:p>
      <w:pPr>
        <w:spacing w:line="440" w:lineRule="exact"/>
        <w:rPr>
          <w:sz w:val="28"/>
          <w:szCs w:val="28"/>
        </w:rPr>
      </w:pPr>
      <w:r>
        <w:rPr>
          <w:rFonts w:hint="eastAsia"/>
          <w:sz w:val="28"/>
          <w:szCs w:val="28"/>
        </w:rPr>
        <w:t>我园在市教体局的统一部署之下，逐步开展了“三园”建设攻坚，做到创建工作有专人负责，开展活动有专项经费保障，让“三园”建设攻坚工作在我园真正落到了实处。</w:t>
      </w:r>
    </w:p>
    <w:p>
      <w:pPr>
        <w:spacing w:line="440" w:lineRule="exact"/>
        <w:rPr>
          <w:sz w:val="28"/>
          <w:szCs w:val="28"/>
        </w:rPr>
      </w:pPr>
      <w:r>
        <w:rPr>
          <w:rFonts w:hint="eastAsia"/>
          <w:sz w:val="28"/>
          <w:szCs w:val="28"/>
        </w:rPr>
        <w:t>（1）着力推进“安全校园”建设</w:t>
      </w:r>
    </w:p>
    <w:p>
      <w:pPr>
        <w:spacing w:line="440" w:lineRule="exact"/>
        <w:rPr>
          <w:sz w:val="28"/>
          <w:szCs w:val="28"/>
        </w:rPr>
      </w:pPr>
      <w:r>
        <w:rPr>
          <w:rFonts w:hint="eastAsia"/>
          <w:sz w:val="28"/>
          <w:szCs w:val="28"/>
        </w:rPr>
        <w:t>1、成立安全工作领导小组，建立安全台帐，定期排查。</w:t>
      </w:r>
    </w:p>
    <w:p>
      <w:pPr>
        <w:spacing w:line="440" w:lineRule="exact"/>
        <w:rPr>
          <w:sz w:val="28"/>
          <w:szCs w:val="28"/>
        </w:rPr>
      </w:pPr>
      <w:r>
        <w:rPr>
          <w:rFonts w:hint="eastAsia"/>
          <w:sz w:val="28"/>
          <w:szCs w:val="28"/>
        </w:rPr>
        <w:t>2、制定安全规章制度，定时召开安全工作会议</w:t>
      </w:r>
    </w:p>
    <w:p>
      <w:pPr>
        <w:spacing w:line="440" w:lineRule="exact"/>
        <w:rPr>
          <w:sz w:val="28"/>
          <w:szCs w:val="28"/>
        </w:rPr>
      </w:pPr>
      <w:r>
        <w:rPr>
          <w:rFonts w:hint="eastAsia"/>
          <w:sz w:val="28"/>
          <w:szCs w:val="28"/>
        </w:rPr>
        <w:t>3、实施安全教育周开展系列安全培训及消防演练活动。</w:t>
      </w:r>
    </w:p>
    <w:p>
      <w:pPr>
        <w:spacing w:line="440" w:lineRule="exact"/>
        <w:rPr>
          <w:sz w:val="28"/>
          <w:szCs w:val="28"/>
        </w:rPr>
      </w:pPr>
      <w:r>
        <w:rPr>
          <w:rFonts w:hint="eastAsia"/>
          <w:sz w:val="28"/>
          <w:szCs w:val="28"/>
        </w:rPr>
        <w:t>4、和家长签订安全责任状。</w:t>
      </w:r>
    </w:p>
    <w:p>
      <w:pPr>
        <w:spacing w:line="440" w:lineRule="exact"/>
        <w:rPr>
          <w:sz w:val="28"/>
          <w:szCs w:val="28"/>
        </w:rPr>
      </w:pPr>
      <w:r>
        <w:rPr>
          <w:rFonts w:hint="eastAsia"/>
          <w:sz w:val="28"/>
          <w:szCs w:val="28"/>
        </w:rPr>
        <w:t xml:space="preserve">（2）着力推进“清洁校园”建设 </w:t>
      </w:r>
    </w:p>
    <w:p>
      <w:pPr>
        <w:spacing w:line="440" w:lineRule="exact"/>
        <w:rPr>
          <w:sz w:val="28"/>
          <w:szCs w:val="28"/>
        </w:rPr>
      </w:pPr>
      <w:r>
        <w:rPr>
          <w:rFonts w:hint="eastAsia"/>
          <w:sz w:val="28"/>
          <w:szCs w:val="28"/>
        </w:rPr>
        <w:t>通过“宣传倡导、活动引导、志愿督导”三导形式，家园联动，创造良好的卫生环境、文化环境、社会生态环境，打造“社会放心、家长安心、幼儿开心”品牌。</w:t>
      </w:r>
    </w:p>
    <w:p>
      <w:pPr>
        <w:spacing w:line="440" w:lineRule="exact"/>
        <w:rPr>
          <w:sz w:val="28"/>
          <w:szCs w:val="28"/>
        </w:rPr>
      </w:pPr>
      <w:r>
        <w:rPr>
          <w:rFonts w:hint="eastAsia"/>
          <w:sz w:val="28"/>
          <w:szCs w:val="28"/>
        </w:rPr>
        <w:t>（3）着力推进“书香校园”建设</w:t>
      </w:r>
    </w:p>
    <w:p>
      <w:pPr>
        <w:spacing w:line="440" w:lineRule="exact"/>
        <w:rPr>
          <w:rFonts w:ascii="宋体" w:hAnsi="宋体" w:cs="黑体"/>
          <w:color w:val="000000"/>
          <w:kern w:val="0"/>
          <w:sz w:val="28"/>
          <w:szCs w:val="28"/>
        </w:rPr>
      </w:pPr>
      <w:r>
        <w:rPr>
          <w:rFonts w:hint="eastAsia"/>
          <w:sz w:val="28"/>
          <w:szCs w:val="28"/>
        </w:rPr>
        <w:t>全园参与，构建园所文化体系，创建园所文化环境，我们力求做到：让每一面墙壁都会自己说话，让每一处场地都为孩子所用，让每一个空间都凸显感染力。</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二、部门（单位）整体支出管理及使用情况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（一）整体收入情况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2020年总收入 814.44万元。主要包括财政拨款收入732.72万元，无事业收入，无其他收入。</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（二）整体支出情况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2020年整体支出 814.44万元，其中：人员经费405.86万元，日常公用支出 183.75万元，支持学前教育资金 100万元，教育费附加安排的支出 112.78 万元。</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（三）固定资产整体情况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本年固定资产投入177.5万元，资产全部自用无出租出借 。</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（四）资金管理情况分析</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各项资金本着专款专用的原则，严格执行资金批准的使用计划和批复内容，不擅自调项、扩项、缩项，不拆借、挪用、挤占。资金拨付动向按不同资金的要求执行。同时对每笔资金的支付，严格执行财务制度，落实资金审核程序。</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三、部门（单位）整体支出绩效情况</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本单位各项项目资金其主要用途是确保单位的正常运转，促进各项工作任务顺利完成。在人员经费支出、公共支出严格执行市委市政府的各项制度；在项目经费的使用上，在保证各项任务顺利完成的同时，严格落实厉行节约的原则；三公经费的使用严格控制在预算申报的范围内。</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四、存在的主要问题</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一是对个别项目资金方面撑控不力，出现实际支出数超出了预算申报数；二是固定资产的管理存在不严的情况，资产损坏更换没有及时办理相关手续。</w:t>
      </w:r>
    </w:p>
    <w:p>
      <w:pPr>
        <w:spacing w:line="440" w:lineRule="exact"/>
        <w:ind w:firstLine="560" w:firstLineChars="200"/>
        <w:jc w:val="left"/>
        <w:rPr>
          <w:rFonts w:ascii="宋体" w:hAnsi="宋体" w:cs="黑体"/>
          <w:color w:val="000000"/>
          <w:kern w:val="0"/>
          <w:sz w:val="28"/>
          <w:szCs w:val="28"/>
        </w:rPr>
      </w:pPr>
      <w:r>
        <w:rPr>
          <w:rFonts w:hint="eastAsia" w:ascii="宋体" w:hAnsi="宋体" w:cs="黑体"/>
          <w:color w:val="000000"/>
          <w:kern w:val="0"/>
          <w:sz w:val="28"/>
          <w:szCs w:val="28"/>
        </w:rPr>
        <w:t>五、改进措施和有关建议</w:t>
      </w:r>
    </w:p>
    <w:p>
      <w:pPr>
        <w:spacing w:line="440" w:lineRule="exact"/>
        <w:ind w:firstLine="560" w:firstLineChars="200"/>
        <w:rPr>
          <w:rFonts w:ascii="宋体" w:hAnsi="宋体" w:cs="黑体"/>
          <w:color w:val="000000"/>
          <w:kern w:val="0"/>
          <w:sz w:val="28"/>
          <w:szCs w:val="28"/>
        </w:rPr>
      </w:pPr>
      <w:r>
        <w:rPr>
          <w:rFonts w:hint="eastAsia" w:ascii="宋体" w:hAnsi="宋体" w:cs="宋体"/>
          <w:sz w:val="28"/>
          <w:szCs w:val="28"/>
        </w:rPr>
        <w:t>1.我单位严格按2020单位决算执行支出，没有自行扩大支出范围和提高支出标准，没有自行改变专项资金使用方向。2.按照中央、省、市的相关规定，厉行节约，大力压缩一般性支出；建立健全内部监管机制，加强内控制度、支出管理，使有限的资金发挥最佳的使用效果；3专项资金实行专款专用，较为合理的安排资金使用进度。</w:t>
      </w: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14B09"/>
    <w:multiLevelType w:val="singleLevel"/>
    <w:tmpl w:val="9A214B09"/>
    <w:lvl w:ilvl="0" w:tentative="0">
      <w:start w:val="2"/>
      <w:numFmt w:val="chineseCounting"/>
      <w:suff w:val="nothing"/>
      <w:lvlText w:val="(%1）"/>
      <w:lvlJc w:val="left"/>
      <w:rPr>
        <w:rFonts w:hint="eastAsia"/>
      </w:rPr>
    </w:lvl>
  </w:abstractNum>
  <w:abstractNum w:abstractNumId="1">
    <w:nsid w:val="0D12DAF0"/>
    <w:multiLevelType w:val="singleLevel"/>
    <w:tmpl w:val="0D12DAF0"/>
    <w:lvl w:ilvl="0" w:tentative="0">
      <w:start w:val="1"/>
      <w:numFmt w:val="decimal"/>
      <w:suff w:val="nothing"/>
      <w:lvlText w:val="%1、"/>
      <w:lvlJc w:val="left"/>
    </w:lvl>
  </w:abstractNum>
  <w:abstractNum w:abstractNumId="2">
    <w:nsid w:val="0F5C1981"/>
    <w:multiLevelType w:val="singleLevel"/>
    <w:tmpl w:val="0F5C1981"/>
    <w:lvl w:ilvl="0" w:tentative="0">
      <w:start w:val="3"/>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FE197D"/>
    <w:multiLevelType w:val="singleLevel"/>
    <w:tmpl w:val="5CFE197D"/>
    <w:lvl w:ilvl="0" w:tentative="0">
      <w:start w:val="1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mOGNmZjAyMWUyZjNlYzBkMDdmZGZhMWVhZGNiMDQifQ=="/>
  </w:docVars>
  <w:rsids>
    <w:rsidRoot w:val="004506F9"/>
    <w:rsid w:val="0002229B"/>
    <w:rsid w:val="000273BD"/>
    <w:rsid w:val="000415B7"/>
    <w:rsid w:val="00041E3F"/>
    <w:rsid w:val="000554E2"/>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2F2F"/>
    <w:rsid w:val="0084478C"/>
    <w:rsid w:val="0086638C"/>
    <w:rsid w:val="008A3E8D"/>
    <w:rsid w:val="009237C4"/>
    <w:rsid w:val="00944C48"/>
    <w:rsid w:val="00950252"/>
    <w:rsid w:val="00951113"/>
    <w:rsid w:val="00967F5D"/>
    <w:rsid w:val="009A0F95"/>
    <w:rsid w:val="009B3ADF"/>
    <w:rsid w:val="009B6878"/>
    <w:rsid w:val="009C3B52"/>
    <w:rsid w:val="009E6817"/>
    <w:rsid w:val="009E6E9A"/>
    <w:rsid w:val="00A01D2B"/>
    <w:rsid w:val="00A42218"/>
    <w:rsid w:val="00A70249"/>
    <w:rsid w:val="00A70B02"/>
    <w:rsid w:val="00A71D9F"/>
    <w:rsid w:val="00A91A6C"/>
    <w:rsid w:val="00A92E9F"/>
    <w:rsid w:val="00B33BEA"/>
    <w:rsid w:val="00B55D97"/>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44EDE"/>
    <w:rsid w:val="00D644EE"/>
    <w:rsid w:val="00DC1C5A"/>
    <w:rsid w:val="00DD06FF"/>
    <w:rsid w:val="00DD5FE9"/>
    <w:rsid w:val="00E00C7A"/>
    <w:rsid w:val="00E37D6C"/>
    <w:rsid w:val="00E458E4"/>
    <w:rsid w:val="00E55B68"/>
    <w:rsid w:val="00E67BE6"/>
    <w:rsid w:val="00E8683C"/>
    <w:rsid w:val="00EA2B72"/>
    <w:rsid w:val="00F74360"/>
    <w:rsid w:val="00F93E45"/>
    <w:rsid w:val="00FB462F"/>
    <w:rsid w:val="00FE16FA"/>
    <w:rsid w:val="00FE328A"/>
    <w:rsid w:val="00FE6269"/>
    <w:rsid w:val="178E7ECA"/>
    <w:rsid w:val="1A0C2776"/>
    <w:rsid w:val="1B5B14DA"/>
    <w:rsid w:val="1BA61D95"/>
    <w:rsid w:val="1BD335A7"/>
    <w:rsid w:val="22A02542"/>
    <w:rsid w:val="23437EEC"/>
    <w:rsid w:val="35141AFA"/>
    <w:rsid w:val="3AF036EC"/>
    <w:rsid w:val="3BB93C8C"/>
    <w:rsid w:val="3C7D6560"/>
    <w:rsid w:val="42252038"/>
    <w:rsid w:val="43E23B00"/>
    <w:rsid w:val="441E21F1"/>
    <w:rsid w:val="44692C5D"/>
    <w:rsid w:val="47536B96"/>
    <w:rsid w:val="48F24BC8"/>
    <w:rsid w:val="4AF666B7"/>
    <w:rsid w:val="4FE25EE1"/>
    <w:rsid w:val="50DE0435"/>
    <w:rsid w:val="51682E46"/>
    <w:rsid w:val="532855E1"/>
    <w:rsid w:val="53636E3B"/>
    <w:rsid w:val="541A095B"/>
    <w:rsid w:val="54507AB7"/>
    <w:rsid w:val="5A67716C"/>
    <w:rsid w:val="60826147"/>
    <w:rsid w:val="616157BC"/>
    <w:rsid w:val="63557C0A"/>
    <w:rsid w:val="65D72FCC"/>
    <w:rsid w:val="66FE5E6A"/>
    <w:rsid w:val="6A9E618F"/>
    <w:rsid w:val="6BF942C1"/>
    <w:rsid w:val="6C84399F"/>
    <w:rsid w:val="7150496B"/>
    <w:rsid w:val="717A799F"/>
    <w:rsid w:val="732422AF"/>
    <w:rsid w:val="752E0F37"/>
    <w:rsid w:val="77EF0E30"/>
    <w:rsid w:val="78DD19D3"/>
    <w:rsid w:val="7AB61429"/>
    <w:rsid w:val="7B7C60AB"/>
    <w:rsid w:val="7C580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
    <w:name w:val="1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批注框文本 Char"/>
    <w:basedOn w:val="7"/>
    <w:link w:val="2"/>
    <w:semiHidden/>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页眉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9302</Words>
  <Characters>10421</Characters>
  <Lines>91</Lines>
  <Paragraphs>25</Paragraphs>
  <TotalTime>0</TotalTime>
  <ScaleCrop>false</ScaleCrop>
  <LinksUpToDate>false</LinksUpToDate>
  <CharactersWithSpaces>11505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German Phillip</cp:lastModifiedBy>
  <cp:lastPrinted>2022-06-15T02:05:00Z</cp:lastPrinted>
  <dcterms:modified xsi:type="dcterms:W3CDTF">2022-09-06T10:10:05Z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8817A02E1DF0434F88F64016E3686E68</vt:lpwstr>
  </property>
</Properties>
</file>