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2020年度</w:t>
      </w:r>
    </w:p>
    <w:p>
      <w:pPr>
        <w:pStyle w:val="10"/>
        <w:jc w:val="center"/>
        <w:rPr>
          <w:sz w:val="84"/>
          <w:szCs w:val="84"/>
        </w:rPr>
      </w:pPr>
      <w:r>
        <w:rPr>
          <w:rFonts w:hint="eastAsia"/>
          <w:sz w:val="84"/>
          <w:szCs w:val="84"/>
        </w:rPr>
        <w:t>教育部门教科院决算</w:t>
      </w:r>
    </w:p>
    <w:p>
      <w:pPr>
        <w:pStyle w:val="10"/>
        <w:jc w:val="center"/>
        <w:rPr>
          <w:sz w:val="56"/>
          <w:szCs w:val="56"/>
        </w:rPr>
      </w:pPr>
    </w:p>
    <w:p>
      <w:pPr>
        <w:pStyle w:val="10"/>
        <w:jc w:val="center"/>
        <w:rPr>
          <w:sz w:val="56"/>
          <w:szCs w:val="56"/>
        </w:rPr>
      </w:pPr>
    </w:p>
    <w:p>
      <w:pPr>
        <w:pStyle w:val="10"/>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第一部分教科院概况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九、国有资本经营预算财政拨款支出决算情况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十、关于机关运行经费支出说明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十一、一般性支出情况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十二、关于政府采购支出说明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十三、关于国有资产占用情况说明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十四、关于2020年度预算绩效情况的说明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rPr>
        <w:t>教科院概况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30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岳阳市教育科学技术研究院是由原岳阳市教育科学研究所和原岳阳市教育技术中心合并后，于2008年12月重组成立的公益类全额拨款事业单位。承担全市中小学教育教学研究、学科教学业务指导和管理、教育装备建设等主要工作任务，致力于推动我市基础教育（含中小学教育、学前教育、特殊教育）、职业教育等的改革与发展，教学质量的监测与提质以及素质教育的研究与实践，积极提升我市基础教育、职业教育以及教育装备和信息化建设的水平。主要工作职责有：</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1.负责全市教育科学发展的规划、管理、指导以及教育科研成果的推广与应用；</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2.负责全市中小学教学研究和学科教学业务管理；</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3.负责规划、指导、管理全市实验教学及装备工作，统筹指导市直学校实验教学及装备工作；</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4.负责全市教育信息化建设的研究与指导，构建统一、开放、规范的教育信息化运行服务体系；</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5.负责全市职业教育与成人教育的研究与指导；</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6.负责全市中小学教师继续教育工作，建立健全研训一体的教师培养新机制；</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7.负责全市基础教育质量监测与语言文字培训测试工作。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rPr>
        <w:t>内设机构设置。岳阳市单位内设机构包括：办公室、普通高中研究室、义务教育研究室、职成教育研究室、教育信息技术</w:t>
      </w:r>
      <w:r>
        <w:rPr>
          <w:rFonts w:hint="eastAsia" w:ascii="仿宋" w:hAnsi="仿宋" w:eastAsia="仿宋" w:cs="仿宋"/>
          <w:bCs/>
          <w:kern w:val="0"/>
          <w:sz w:val="32"/>
          <w:szCs w:val="32"/>
          <w:lang w:eastAsia="zh-CN"/>
        </w:rPr>
        <w:t>室</w:t>
      </w:r>
      <w:r>
        <w:rPr>
          <w:rFonts w:hint="eastAsia" w:ascii="仿宋" w:hAnsi="仿宋" w:eastAsia="仿宋" w:cs="仿宋"/>
          <w:bCs/>
          <w:kern w:val="0"/>
          <w:sz w:val="32"/>
          <w:szCs w:val="32"/>
        </w:rPr>
        <w:t>、</w:t>
      </w:r>
      <w:r>
        <w:rPr>
          <w:rFonts w:hint="eastAsia" w:ascii="仿宋" w:hAnsi="仿宋" w:eastAsia="仿宋" w:cs="仿宋"/>
          <w:bCs/>
          <w:kern w:val="0"/>
          <w:sz w:val="32"/>
          <w:szCs w:val="32"/>
          <w:lang w:eastAsia="zh-CN"/>
        </w:rPr>
        <w:t>中小学教师研修室、教育科学规划与发展室。</w:t>
      </w:r>
      <w:r>
        <w:rPr>
          <w:rFonts w:hint="eastAsia" w:ascii="仿宋" w:hAnsi="仿宋" w:eastAsia="仿宋" w:cs="宋体"/>
          <w:kern w:val="0"/>
          <w:sz w:val="28"/>
          <w:szCs w:val="28"/>
        </w:rPr>
        <w:t>我院隶属岳阳市教育体育局直属事业单位，组织机构</w:t>
      </w:r>
      <w:r>
        <w:rPr>
          <w:rFonts w:ascii="仿宋" w:hAnsi="仿宋" w:eastAsia="仿宋" w:cs="宋体"/>
          <w:kern w:val="0"/>
          <w:sz w:val="28"/>
          <w:szCs w:val="28"/>
        </w:rPr>
        <w:t>1个</w:t>
      </w:r>
      <w:r>
        <w:rPr>
          <w:rFonts w:hint="eastAsia" w:ascii="仿宋" w:hAnsi="仿宋" w:eastAsia="仿宋" w:cs="宋体"/>
          <w:kern w:val="0"/>
          <w:sz w:val="28"/>
          <w:szCs w:val="28"/>
        </w:rPr>
        <w:t>，为财政全额补助拨款单位，按要求实施财务独立核算。</w:t>
      </w:r>
      <w:r>
        <w:rPr>
          <w:rFonts w:hint="eastAsia" w:ascii="仿宋" w:hAnsi="仿宋" w:eastAsia="仿宋" w:cs="仿宋"/>
          <w:bCs/>
          <w:kern w:val="0"/>
          <w:sz w:val="32"/>
          <w:szCs w:val="32"/>
          <w:lang w:eastAsia="zh-CN"/>
        </w:rPr>
        <w:t>本单位为预算二级单位，决算单位公开单位为岳阳市教育体育局。</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3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6"/>
        <w:gridCol w:w="590"/>
        <w:gridCol w:w="2301"/>
        <w:gridCol w:w="4296"/>
        <w:gridCol w:w="590"/>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4375" w:type="dxa"/>
            <w:gridSpan w:val="6"/>
            <w:tcBorders>
              <w:top w:val="nil"/>
              <w:left w:val="nil"/>
              <w:bottom w:val="nil"/>
              <w:right w:val="nil"/>
            </w:tcBorders>
            <w:shd w:val="clear" w:color="auto" w:fill="auto"/>
            <w:noWrap/>
            <w:vAlign w:val="bottom"/>
          </w:tcPr>
          <w:p>
            <w:pPr>
              <w:widowControl/>
              <w:jc w:val="center"/>
              <w:rPr>
                <w:rFonts w:ascii="方正小标宋简体" w:hAnsi="宋体" w:eastAsia="方正小标宋简体" w:cs="Arial"/>
                <w:color w:val="000000"/>
                <w:kern w:val="0"/>
                <w:sz w:val="36"/>
                <w:szCs w:val="30"/>
              </w:rPr>
            </w:pPr>
          </w:p>
          <w:p>
            <w:pPr>
              <w:widowControl/>
              <w:jc w:val="center"/>
              <w:rPr>
                <w:rFonts w:hint="eastAsia" w:ascii="方正小标宋简体" w:hAnsi="Times New Roman" w:eastAsia="方正小标宋简体" w:cs="Times New Roman"/>
                <w:kern w:val="0"/>
                <w:sz w:val="36"/>
                <w:szCs w:val="20"/>
              </w:rPr>
            </w:pPr>
            <w:r>
              <w:rPr>
                <w:rFonts w:hint="eastAsia" w:ascii="方正小标宋简体" w:hAnsi="宋体" w:eastAsia="方正小标宋简体" w:cs="Arial"/>
                <w:color w:val="000000"/>
                <w:kern w:val="0"/>
                <w:sz w:val="36"/>
                <w:szCs w:val="30"/>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4296"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590"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2301"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4296"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590"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2302"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公开01表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4296" w:type="dxa"/>
            <w:tcBorders>
              <w:top w:val="nil"/>
              <w:left w:val="nil"/>
              <w:bottom w:val="single" w:color="auto" w:sz="4" w:space="0"/>
              <w:right w:val="nil"/>
            </w:tcBorders>
            <w:shd w:val="clear" w:color="auto" w:fill="auto"/>
            <w:noWrap/>
            <w:vAlign w:val="bottom"/>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部门：岳阳市教育科学技术研究院</w:t>
            </w:r>
          </w:p>
        </w:tc>
        <w:tc>
          <w:tcPr>
            <w:tcW w:w="590" w:type="dxa"/>
            <w:tcBorders>
              <w:top w:val="nil"/>
              <w:left w:val="nil"/>
              <w:bottom w:val="single" w:color="auto" w:sz="4" w:space="0"/>
              <w:right w:val="nil"/>
            </w:tcBorders>
            <w:shd w:val="clear" w:color="auto" w:fill="auto"/>
            <w:noWrap/>
            <w:vAlign w:val="bottom"/>
          </w:tcPr>
          <w:p>
            <w:pPr>
              <w:widowControl/>
              <w:jc w:val="left"/>
              <w:rPr>
                <w:rFonts w:hint="eastAsia" w:ascii="宋体" w:hAnsi="宋体" w:eastAsia="宋体" w:cs="Arial"/>
                <w:color w:val="000000"/>
                <w:kern w:val="0"/>
                <w:sz w:val="20"/>
                <w:szCs w:val="20"/>
              </w:rPr>
            </w:pPr>
          </w:p>
        </w:tc>
        <w:tc>
          <w:tcPr>
            <w:tcW w:w="2301" w:type="dxa"/>
            <w:tcBorders>
              <w:top w:val="nil"/>
              <w:left w:val="nil"/>
              <w:bottom w:val="single" w:color="auto" w:sz="4" w:space="0"/>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4296" w:type="dxa"/>
            <w:tcBorders>
              <w:top w:val="nil"/>
              <w:left w:val="nil"/>
              <w:bottom w:val="single" w:color="auto" w:sz="4" w:space="0"/>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590" w:type="dxa"/>
            <w:tcBorders>
              <w:top w:val="nil"/>
              <w:left w:val="nil"/>
              <w:bottom w:val="single" w:color="auto" w:sz="4" w:space="0"/>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2302" w:type="dxa"/>
            <w:tcBorders>
              <w:top w:val="nil"/>
              <w:left w:val="nil"/>
              <w:bottom w:val="single" w:color="auto" w:sz="4" w:space="0"/>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7187" w:type="dxa"/>
            <w:gridSpan w:val="3"/>
            <w:tcBorders>
              <w:top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收入</w:t>
            </w:r>
          </w:p>
        </w:tc>
        <w:tc>
          <w:tcPr>
            <w:tcW w:w="7188" w:type="dxa"/>
            <w:gridSpan w:val="3"/>
            <w:tcBorders>
              <w:top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4296"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项目</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行次</w:t>
            </w:r>
          </w:p>
        </w:tc>
        <w:tc>
          <w:tcPr>
            <w:tcW w:w="2301"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金额</w:t>
            </w:r>
          </w:p>
        </w:tc>
        <w:tc>
          <w:tcPr>
            <w:tcW w:w="4296"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项目</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行次</w:t>
            </w:r>
          </w:p>
        </w:tc>
        <w:tc>
          <w:tcPr>
            <w:tcW w:w="2302"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4296"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栏次</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2301"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w:t>
            </w:r>
          </w:p>
        </w:tc>
        <w:tc>
          <w:tcPr>
            <w:tcW w:w="4296"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栏次</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2302"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一、一般公共预算财政拨款收入</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w:t>
            </w:r>
          </w:p>
        </w:tc>
        <w:tc>
          <w:tcPr>
            <w:tcW w:w="2301"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1,376.11</w:t>
            </w:r>
          </w:p>
        </w:tc>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32</w:t>
            </w:r>
          </w:p>
        </w:tc>
        <w:tc>
          <w:tcPr>
            <w:tcW w:w="2302"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二、政府性基金预算财政拨款收入</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w:t>
            </w:r>
          </w:p>
        </w:tc>
        <w:tc>
          <w:tcPr>
            <w:tcW w:w="2301"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二、外交支出</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33</w:t>
            </w:r>
          </w:p>
        </w:tc>
        <w:tc>
          <w:tcPr>
            <w:tcW w:w="2302"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三、国有资本经营预算财政拨款收入</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w:t>
            </w:r>
          </w:p>
        </w:tc>
        <w:tc>
          <w:tcPr>
            <w:tcW w:w="2301"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三、国防支出</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34</w:t>
            </w:r>
          </w:p>
        </w:tc>
        <w:tc>
          <w:tcPr>
            <w:tcW w:w="2302"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四、上级补助收入</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w:t>
            </w:r>
          </w:p>
        </w:tc>
        <w:tc>
          <w:tcPr>
            <w:tcW w:w="2301"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35</w:t>
            </w:r>
          </w:p>
        </w:tc>
        <w:tc>
          <w:tcPr>
            <w:tcW w:w="2302"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五、事业收入</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w:t>
            </w:r>
          </w:p>
        </w:tc>
        <w:tc>
          <w:tcPr>
            <w:tcW w:w="2301"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五、教育支出</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36</w:t>
            </w:r>
          </w:p>
        </w:tc>
        <w:tc>
          <w:tcPr>
            <w:tcW w:w="2302"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1,138.64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六、经营收入</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6</w:t>
            </w:r>
          </w:p>
        </w:tc>
        <w:tc>
          <w:tcPr>
            <w:tcW w:w="2301"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37</w:t>
            </w:r>
          </w:p>
        </w:tc>
        <w:tc>
          <w:tcPr>
            <w:tcW w:w="2302"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七、附属单位上缴收入</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7</w:t>
            </w:r>
          </w:p>
        </w:tc>
        <w:tc>
          <w:tcPr>
            <w:tcW w:w="2301"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38</w:t>
            </w:r>
          </w:p>
        </w:tc>
        <w:tc>
          <w:tcPr>
            <w:tcW w:w="2302"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八、其他收入</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8</w:t>
            </w:r>
          </w:p>
        </w:tc>
        <w:tc>
          <w:tcPr>
            <w:tcW w:w="2301"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39</w:t>
            </w:r>
          </w:p>
        </w:tc>
        <w:tc>
          <w:tcPr>
            <w:tcW w:w="2302"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75.49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9</w:t>
            </w:r>
          </w:p>
        </w:tc>
        <w:tc>
          <w:tcPr>
            <w:tcW w:w="2301"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40</w:t>
            </w:r>
          </w:p>
        </w:tc>
        <w:tc>
          <w:tcPr>
            <w:tcW w:w="2302"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27.06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10</w:t>
            </w:r>
          </w:p>
        </w:tc>
        <w:tc>
          <w:tcPr>
            <w:tcW w:w="2301"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41</w:t>
            </w:r>
          </w:p>
        </w:tc>
        <w:tc>
          <w:tcPr>
            <w:tcW w:w="2302"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11</w:t>
            </w:r>
          </w:p>
        </w:tc>
        <w:tc>
          <w:tcPr>
            <w:tcW w:w="2301"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42</w:t>
            </w:r>
          </w:p>
        </w:tc>
        <w:tc>
          <w:tcPr>
            <w:tcW w:w="2302"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12</w:t>
            </w:r>
          </w:p>
        </w:tc>
        <w:tc>
          <w:tcPr>
            <w:tcW w:w="2301"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43</w:t>
            </w:r>
          </w:p>
        </w:tc>
        <w:tc>
          <w:tcPr>
            <w:tcW w:w="2302"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13</w:t>
            </w:r>
          </w:p>
        </w:tc>
        <w:tc>
          <w:tcPr>
            <w:tcW w:w="2301"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44</w:t>
            </w:r>
          </w:p>
        </w:tc>
        <w:tc>
          <w:tcPr>
            <w:tcW w:w="2302"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14</w:t>
            </w:r>
          </w:p>
        </w:tc>
        <w:tc>
          <w:tcPr>
            <w:tcW w:w="2301"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十四、资源勘探工业信息等支出</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45</w:t>
            </w:r>
          </w:p>
        </w:tc>
        <w:tc>
          <w:tcPr>
            <w:tcW w:w="2302"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15</w:t>
            </w:r>
          </w:p>
        </w:tc>
        <w:tc>
          <w:tcPr>
            <w:tcW w:w="2301"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46</w:t>
            </w:r>
          </w:p>
        </w:tc>
        <w:tc>
          <w:tcPr>
            <w:tcW w:w="2302"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16</w:t>
            </w:r>
          </w:p>
        </w:tc>
        <w:tc>
          <w:tcPr>
            <w:tcW w:w="2301"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47</w:t>
            </w:r>
          </w:p>
        </w:tc>
        <w:tc>
          <w:tcPr>
            <w:tcW w:w="2302"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17</w:t>
            </w:r>
          </w:p>
        </w:tc>
        <w:tc>
          <w:tcPr>
            <w:tcW w:w="2301"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48</w:t>
            </w:r>
          </w:p>
        </w:tc>
        <w:tc>
          <w:tcPr>
            <w:tcW w:w="2302"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18</w:t>
            </w:r>
          </w:p>
        </w:tc>
        <w:tc>
          <w:tcPr>
            <w:tcW w:w="2301"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49</w:t>
            </w:r>
          </w:p>
        </w:tc>
        <w:tc>
          <w:tcPr>
            <w:tcW w:w="2302"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19</w:t>
            </w:r>
          </w:p>
        </w:tc>
        <w:tc>
          <w:tcPr>
            <w:tcW w:w="2301"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50</w:t>
            </w:r>
          </w:p>
        </w:tc>
        <w:tc>
          <w:tcPr>
            <w:tcW w:w="2302"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43.78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20</w:t>
            </w:r>
          </w:p>
        </w:tc>
        <w:tc>
          <w:tcPr>
            <w:tcW w:w="2301"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51</w:t>
            </w:r>
          </w:p>
        </w:tc>
        <w:tc>
          <w:tcPr>
            <w:tcW w:w="2302"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21</w:t>
            </w:r>
          </w:p>
        </w:tc>
        <w:tc>
          <w:tcPr>
            <w:tcW w:w="2301"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二十一、国有资本经营预算支出</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52</w:t>
            </w:r>
          </w:p>
        </w:tc>
        <w:tc>
          <w:tcPr>
            <w:tcW w:w="2302"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22</w:t>
            </w:r>
          </w:p>
        </w:tc>
        <w:tc>
          <w:tcPr>
            <w:tcW w:w="2301"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二十二、灾害防治及应急管理支出</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53</w:t>
            </w:r>
          </w:p>
        </w:tc>
        <w:tc>
          <w:tcPr>
            <w:tcW w:w="2302"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23</w:t>
            </w:r>
          </w:p>
        </w:tc>
        <w:tc>
          <w:tcPr>
            <w:tcW w:w="2301"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二十三、其他支出</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54</w:t>
            </w:r>
          </w:p>
        </w:tc>
        <w:tc>
          <w:tcPr>
            <w:tcW w:w="2302"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4296" w:type="dxa"/>
            <w:shd w:val="clear" w:color="auto" w:fill="auto"/>
            <w:noWrap/>
            <w:vAlign w:val="center"/>
          </w:tcPr>
          <w:p>
            <w:pPr>
              <w:widowControl/>
              <w:jc w:val="center"/>
              <w:rPr>
                <w:rFonts w:hint="eastAsia"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590" w:type="dxa"/>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24</w:t>
            </w:r>
          </w:p>
        </w:tc>
        <w:tc>
          <w:tcPr>
            <w:tcW w:w="2301" w:type="dxa"/>
            <w:shd w:val="clear" w:color="auto" w:fill="auto"/>
            <w:noWrap/>
            <w:vAlign w:val="center"/>
          </w:tcPr>
          <w:p>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二十四、债务还本支出</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55</w:t>
            </w:r>
          </w:p>
        </w:tc>
        <w:tc>
          <w:tcPr>
            <w:tcW w:w="2302"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4296" w:type="dxa"/>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90" w:type="dxa"/>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25</w:t>
            </w:r>
          </w:p>
        </w:tc>
        <w:tc>
          <w:tcPr>
            <w:tcW w:w="2301" w:type="dxa"/>
            <w:shd w:val="clear" w:color="auto" w:fill="auto"/>
            <w:noWrap/>
            <w:vAlign w:val="center"/>
          </w:tcPr>
          <w:p>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二十五、债务付息支出</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56</w:t>
            </w:r>
          </w:p>
        </w:tc>
        <w:tc>
          <w:tcPr>
            <w:tcW w:w="2302"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4296" w:type="dxa"/>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90" w:type="dxa"/>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26</w:t>
            </w:r>
          </w:p>
        </w:tc>
        <w:tc>
          <w:tcPr>
            <w:tcW w:w="2301" w:type="dxa"/>
            <w:shd w:val="clear" w:color="auto" w:fill="auto"/>
            <w:noWrap/>
            <w:vAlign w:val="center"/>
          </w:tcPr>
          <w:p>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二十六、抗疫特别国债安排的支出</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57</w:t>
            </w:r>
          </w:p>
        </w:tc>
        <w:tc>
          <w:tcPr>
            <w:tcW w:w="2302"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4296" w:type="dxa"/>
            <w:shd w:val="clear" w:color="auto" w:fill="auto"/>
            <w:noWrap/>
            <w:vAlign w:val="center"/>
          </w:tcPr>
          <w:p>
            <w:pPr>
              <w:widowControl/>
              <w:jc w:val="center"/>
              <w:rPr>
                <w:rFonts w:hint="eastAsia"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27</w:t>
            </w:r>
          </w:p>
        </w:tc>
        <w:tc>
          <w:tcPr>
            <w:tcW w:w="2301"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1,376.11</w:t>
            </w:r>
          </w:p>
        </w:tc>
        <w:tc>
          <w:tcPr>
            <w:tcW w:w="4296" w:type="dxa"/>
            <w:shd w:val="clear" w:color="auto" w:fill="auto"/>
            <w:noWrap/>
            <w:vAlign w:val="center"/>
          </w:tcPr>
          <w:p>
            <w:pPr>
              <w:widowControl/>
              <w:jc w:val="center"/>
              <w:rPr>
                <w:rFonts w:hint="eastAsia"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58</w:t>
            </w:r>
          </w:p>
        </w:tc>
        <w:tc>
          <w:tcPr>
            <w:tcW w:w="2302"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1,284.97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使用非财政拨款结余</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28</w:t>
            </w:r>
          </w:p>
        </w:tc>
        <w:tc>
          <w:tcPr>
            <w:tcW w:w="2301"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结余分配</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59</w:t>
            </w:r>
          </w:p>
        </w:tc>
        <w:tc>
          <w:tcPr>
            <w:tcW w:w="2302"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29</w:t>
            </w:r>
          </w:p>
        </w:tc>
        <w:tc>
          <w:tcPr>
            <w:tcW w:w="2301"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30.00</w:t>
            </w:r>
          </w:p>
        </w:tc>
        <w:tc>
          <w:tcPr>
            <w:tcW w:w="4296" w:type="dxa"/>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年末结转和结余</w:t>
            </w:r>
          </w:p>
        </w:tc>
        <w:tc>
          <w:tcPr>
            <w:tcW w:w="590"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60</w:t>
            </w:r>
          </w:p>
        </w:tc>
        <w:tc>
          <w:tcPr>
            <w:tcW w:w="2302" w:type="dxa"/>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121.14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4296" w:type="dxa"/>
            <w:tcBorders>
              <w:bottom w:val="single" w:color="auto"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590" w:type="dxa"/>
            <w:tcBorders>
              <w:bottom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30</w:t>
            </w:r>
          </w:p>
        </w:tc>
        <w:tc>
          <w:tcPr>
            <w:tcW w:w="2301" w:type="dxa"/>
            <w:tcBorders>
              <w:bottom w:val="single" w:color="auto"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4296" w:type="dxa"/>
            <w:tcBorders>
              <w:bottom w:val="single" w:color="auto"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590" w:type="dxa"/>
            <w:tcBorders>
              <w:bottom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61</w:t>
            </w:r>
          </w:p>
        </w:tc>
        <w:tc>
          <w:tcPr>
            <w:tcW w:w="2302" w:type="dxa"/>
            <w:tcBorders>
              <w:bottom w:val="single" w:color="auto"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4296" w:type="dxa"/>
            <w:tcBorders>
              <w:bottom w:val="single" w:color="auto" w:sz="4" w:space="0"/>
            </w:tcBorders>
            <w:shd w:val="clear" w:color="auto" w:fill="auto"/>
            <w:noWrap/>
            <w:vAlign w:val="center"/>
          </w:tcPr>
          <w:p>
            <w:pPr>
              <w:widowControl/>
              <w:jc w:val="center"/>
              <w:rPr>
                <w:rFonts w:hint="eastAsia"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590" w:type="dxa"/>
            <w:tcBorders>
              <w:bottom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31</w:t>
            </w:r>
          </w:p>
        </w:tc>
        <w:tc>
          <w:tcPr>
            <w:tcW w:w="2301" w:type="dxa"/>
            <w:tcBorders>
              <w:bottom w:val="single" w:color="auto"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1,406.11</w:t>
            </w:r>
          </w:p>
        </w:tc>
        <w:tc>
          <w:tcPr>
            <w:tcW w:w="4296" w:type="dxa"/>
            <w:tcBorders>
              <w:bottom w:val="single" w:color="auto" w:sz="4" w:space="0"/>
            </w:tcBorders>
            <w:shd w:val="clear" w:color="auto" w:fill="auto"/>
            <w:noWrap/>
            <w:vAlign w:val="center"/>
          </w:tcPr>
          <w:p>
            <w:pPr>
              <w:widowControl/>
              <w:jc w:val="center"/>
              <w:rPr>
                <w:rFonts w:hint="eastAsia"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590" w:type="dxa"/>
            <w:tcBorders>
              <w:bottom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62</w:t>
            </w:r>
          </w:p>
        </w:tc>
        <w:tc>
          <w:tcPr>
            <w:tcW w:w="2302" w:type="dxa"/>
            <w:tcBorders>
              <w:bottom w:val="single" w:color="auto"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1,406.11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14375" w:type="dxa"/>
            <w:gridSpan w:val="6"/>
            <w:tcBorders>
              <w:top w:val="single" w:color="auto" w:sz="4" w:space="0"/>
              <w:left w:val="nil"/>
              <w:bottom w:val="nil"/>
              <w:right w:val="nil"/>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注：本表反映部门本年度的总收支和年末结转结余情况。本套报表金额单位转换时可能存在尾数误差。</w:t>
            </w:r>
          </w:p>
        </w:tc>
      </w:tr>
    </w:tbl>
    <w:p>
      <w:r>
        <w:br w:type="page"/>
      </w:r>
    </w:p>
    <w:tbl>
      <w:tblPr>
        <w:tblStyle w:val="6"/>
        <w:tblW w:w="16075" w:type="dxa"/>
        <w:jc w:val="center"/>
        <w:tblInd w:w="0" w:type="dxa"/>
        <w:tblLayout w:type="fixed"/>
        <w:tblCellMar>
          <w:top w:w="0" w:type="dxa"/>
          <w:left w:w="108" w:type="dxa"/>
          <w:bottom w:w="0" w:type="dxa"/>
          <w:right w:w="108" w:type="dxa"/>
        </w:tblCellMar>
      </w:tblPr>
      <w:tblGrid>
        <w:gridCol w:w="619"/>
        <w:gridCol w:w="344"/>
        <w:gridCol w:w="341"/>
        <w:gridCol w:w="343"/>
        <w:gridCol w:w="1099"/>
        <w:gridCol w:w="3148"/>
        <w:gridCol w:w="821"/>
        <w:gridCol w:w="413"/>
        <w:gridCol w:w="1288"/>
        <w:gridCol w:w="906"/>
        <w:gridCol w:w="504"/>
        <w:gridCol w:w="156"/>
        <w:gridCol w:w="1114"/>
        <w:gridCol w:w="615"/>
        <w:gridCol w:w="524"/>
        <w:gridCol w:w="1035"/>
        <w:gridCol w:w="415"/>
        <w:gridCol w:w="719"/>
        <w:gridCol w:w="937"/>
        <w:gridCol w:w="734"/>
      </w:tblGrid>
      <w:tr>
        <w:tblPrEx>
          <w:tblLayout w:type="fixed"/>
          <w:tblCellMar>
            <w:top w:w="0" w:type="dxa"/>
            <w:left w:w="108" w:type="dxa"/>
            <w:bottom w:w="0" w:type="dxa"/>
            <w:right w:w="108" w:type="dxa"/>
          </w:tblCellMar>
        </w:tblPrEx>
        <w:trPr>
          <w:gridAfter w:val="1"/>
          <w:wAfter w:w="734" w:type="dxa"/>
          <w:trHeight w:val="327" w:hRule="atLeast"/>
          <w:jc w:val="center"/>
        </w:trPr>
        <w:tc>
          <w:tcPr>
            <w:tcW w:w="963" w:type="dxa"/>
            <w:gridSpan w:val="2"/>
            <w:tcBorders>
              <w:top w:val="nil"/>
              <w:left w:val="nil"/>
              <w:bottom w:val="nil"/>
              <w:right w:val="nil"/>
            </w:tcBorders>
            <w:shd w:val="clear" w:color="auto" w:fill="auto"/>
            <w:noWrap/>
            <w:vAlign w:val="bottom"/>
          </w:tcPr>
          <w:p>
            <w:pPr>
              <w:widowControl/>
              <w:jc w:val="left"/>
              <w:rPr>
                <w:rFonts w:ascii="宋体" w:hAnsi="宋体" w:eastAsia="宋体" w:cs="宋体"/>
                <w:kern w:val="0"/>
                <w:sz w:val="20"/>
                <w:szCs w:val="20"/>
              </w:rPr>
            </w:pPr>
          </w:p>
        </w:tc>
        <w:tc>
          <w:tcPr>
            <w:tcW w:w="341"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343"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3694" w:type="dxa"/>
            <w:gridSpan w:val="15"/>
            <w:tcBorders>
              <w:top w:val="nil"/>
              <w:left w:val="nil"/>
              <w:bottom w:val="nil"/>
              <w:right w:val="nil"/>
            </w:tcBorders>
            <w:shd w:val="clear" w:color="auto" w:fill="auto"/>
            <w:noWrap/>
            <w:vAlign w:val="bottom"/>
          </w:tcPr>
          <w:p>
            <w:pPr>
              <w:widowControl/>
              <w:jc w:val="center"/>
              <w:rPr>
                <w:rFonts w:hint="eastAsia" w:ascii="方正小标宋简体" w:hAnsi="Times New Roman" w:eastAsia="方正小标宋简体" w:cs="Times New Roman"/>
                <w:kern w:val="0"/>
                <w:sz w:val="20"/>
                <w:szCs w:val="20"/>
              </w:rPr>
            </w:pPr>
            <w:r>
              <w:rPr>
                <w:rFonts w:hint="eastAsia" w:ascii="方正小标宋简体" w:hAnsi="宋体" w:eastAsia="方正小标宋简体" w:cs="宋体"/>
                <w:kern w:val="0"/>
                <w:sz w:val="32"/>
                <w:szCs w:val="20"/>
              </w:rPr>
              <w:t>收入决算表</w:t>
            </w:r>
          </w:p>
        </w:tc>
      </w:tr>
      <w:tr>
        <w:tblPrEx>
          <w:tblLayout w:type="fixed"/>
          <w:tblCellMar>
            <w:top w:w="0" w:type="dxa"/>
            <w:left w:w="108" w:type="dxa"/>
            <w:bottom w:w="0" w:type="dxa"/>
            <w:right w:w="108" w:type="dxa"/>
          </w:tblCellMar>
        </w:tblPrEx>
        <w:trPr>
          <w:gridAfter w:val="1"/>
          <w:wAfter w:w="734" w:type="dxa"/>
          <w:trHeight w:val="214" w:hRule="atLeast"/>
          <w:jc w:val="center"/>
        </w:trPr>
        <w:tc>
          <w:tcPr>
            <w:tcW w:w="963" w:type="dxa"/>
            <w:gridSpan w:val="2"/>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341"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343"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4247" w:type="dxa"/>
            <w:gridSpan w:val="2"/>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234" w:type="dxa"/>
            <w:gridSpan w:val="2"/>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2194" w:type="dxa"/>
            <w:gridSpan w:val="2"/>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660" w:type="dxa"/>
            <w:gridSpan w:val="2"/>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114"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139" w:type="dxa"/>
            <w:gridSpan w:val="2"/>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450" w:type="dxa"/>
            <w:gridSpan w:val="2"/>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656" w:type="dxa"/>
            <w:gridSpan w:val="2"/>
            <w:tcBorders>
              <w:top w:val="nil"/>
              <w:left w:val="nil"/>
              <w:bottom w:val="nil"/>
              <w:right w:val="nil"/>
            </w:tcBorders>
            <w:shd w:val="clear" w:color="auto" w:fill="auto"/>
            <w:noWrap/>
            <w:vAlign w:val="bottom"/>
          </w:tcPr>
          <w:p>
            <w:pPr>
              <w:widowControl/>
              <w:ind w:right="200"/>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公开02表</w:t>
            </w:r>
          </w:p>
        </w:tc>
      </w:tr>
      <w:tr>
        <w:tblPrEx>
          <w:tblLayout w:type="fixed"/>
          <w:tblCellMar>
            <w:top w:w="0" w:type="dxa"/>
            <w:left w:w="108" w:type="dxa"/>
            <w:bottom w:w="0" w:type="dxa"/>
            <w:right w:w="108" w:type="dxa"/>
          </w:tblCellMar>
        </w:tblPrEx>
        <w:trPr>
          <w:gridAfter w:val="1"/>
          <w:wAfter w:w="734" w:type="dxa"/>
          <w:trHeight w:val="172" w:hRule="atLeast"/>
          <w:jc w:val="center"/>
        </w:trPr>
        <w:tc>
          <w:tcPr>
            <w:tcW w:w="5894" w:type="dxa"/>
            <w:gridSpan w:val="6"/>
            <w:tcBorders>
              <w:top w:val="nil"/>
              <w:left w:val="nil"/>
              <w:bottom w:val="nil"/>
              <w:right w:val="nil"/>
            </w:tcBorders>
            <w:shd w:val="clear" w:color="auto" w:fill="auto"/>
            <w:noWrap/>
            <w:vAlign w:val="bottom"/>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部门：岳阳市教育科学技术研究院</w:t>
            </w:r>
          </w:p>
        </w:tc>
        <w:tc>
          <w:tcPr>
            <w:tcW w:w="1234" w:type="dxa"/>
            <w:gridSpan w:val="2"/>
            <w:tcBorders>
              <w:top w:val="nil"/>
              <w:left w:val="nil"/>
              <w:bottom w:val="nil"/>
              <w:right w:val="nil"/>
            </w:tcBorders>
            <w:shd w:val="clear" w:color="auto" w:fill="auto"/>
            <w:noWrap/>
            <w:vAlign w:val="bottom"/>
          </w:tcPr>
          <w:p>
            <w:pPr>
              <w:widowControl/>
              <w:jc w:val="left"/>
              <w:rPr>
                <w:rFonts w:hint="eastAsia" w:ascii="宋体" w:hAnsi="宋体" w:eastAsia="宋体" w:cs="Arial"/>
                <w:color w:val="000000"/>
                <w:kern w:val="0"/>
                <w:sz w:val="20"/>
                <w:szCs w:val="20"/>
              </w:rPr>
            </w:pPr>
          </w:p>
        </w:tc>
        <w:tc>
          <w:tcPr>
            <w:tcW w:w="2194" w:type="dxa"/>
            <w:gridSpan w:val="2"/>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660" w:type="dxa"/>
            <w:gridSpan w:val="2"/>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114"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139" w:type="dxa"/>
            <w:gridSpan w:val="2"/>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450" w:type="dxa"/>
            <w:gridSpan w:val="2"/>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656" w:type="dxa"/>
            <w:gridSpan w:val="2"/>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Layout w:type="fixed"/>
          <w:tblCellMar>
            <w:top w:w="0" w:type="dxa"/>
            <w:left w:w="108" w:type="dxa"/>
            <w:bottom w:w="0" w:type="dxa"/>
            <w:right w:w="108" w:type="dxa"/>
          </w:tblCellMar>
        </w:tblPrEx>
        <w:trPr>
          <w:gridAfter w:val="1"/>
          <w:wAfter w:w="734" w:type="dxa"/>
          <w:trHeight w:val="258" w:hRule="atLeast"/>
          <w:jc w:val="center"/>
        </w:trPr>
        <w:tc>
          <w:tcPr>
            <w:tcW w:w="5894" w:type="dxa"/>
            <w:gridSpan w:val="6"/>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项目</w:t>
            </w:r>
          </w:p>
        </w:tc>
        <w:tc>
          <w:tcPr>
            <w:tcW w:w="1234"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本年收入合计</w:t>
            </w:r>
          </w:p>
        </w:tc>
        <w:tc>
          <w:tcPr>
            <w:tcW w:w="2194"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财政拨款收入</w:t>
            </w:r>
          </w:p>
        </w:tc>
        <w:tc>
          <w:tcPr>
            <w:tcW w:w="660"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上级补助收入</w:t>
            </w:r>
          </w:p>
        </w:tc>
        <w:tc>
          <w:tcPr>
            <w:tcW w:w="1114"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事业收入</w:t>
            </w:r>
          </w:p>
        </w:tc>
        <w:tc>
          <w:tcPr>
            <w:tcW w:w="1139"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经营收入</w:t>
            </w:r>
          </w:p>
        </w:tc>
        <w:tc>
          <w:tcPr>
            <w:tcW w:w="1450"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附属单位上缴收入</w:t>
            </w:r>
          </w:p>
        </w:tc>
        <w:tc>
          <w:tcPr>
            <w:tcW w:w="1656"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其他收入</w:t>
            </w:r>
          </w:p>
        </w:tc>
      </w:tr>
      <w:tr>
        <w:tblPrEx>
          <w:tblLayout w:type="fixed"/>
          <w:tblCellMar>
            <w:top w:w="0" w:type="dxa"/>
            <w:left w:w="108" w:type="dxa"/>
            <w:bottom w:w="0" w:type="dxa"/>
            <w:right w:w="108" w:type="dxa"/>
          </w:tblCellMar>
        </w:tblPrEx>
        <w:trPr>
          <w:gridAfter w:val="1"/>
          <w:wAfter w:w="734" w:type="dxa"/>
          <w:trHeight w:val="312" w:hRule="atLeast"/>
          <w:jc w:val="center"/>
        </w:trPr>
        <w:tc>
          <w:tcPr>
            <w:tcW w:w="1647" w:type="dxa"/>
            <w:gridSpan w:val="4"/>
            <w:vMerge w:val="restart"/>
            <w:tcBorders>
              <w:top w:val="nil"/>
              <w:left w:val="single" w:color="000000" w:sz="4" w:space="0"/>
              <w:bottom w:val="single" w:color="000000" w:sz="4" w:space="0"/>
              <w:right w:val="single" w:color="000000" w:sz="4" w:space="0"/>
            </w:tcBorders>
            <w:shd w:val="clear" w:color="FFFFFF" w:fill="C0C0C0"/>
            <w:vAlign w:val="center"/>
          </w:tcPr>
          <w:p>
            <w:pPr>
              <w:widowControl/>
              <w:spacing w:line="240" w:lineRule="exact"/>
              <w:jc w:val="center"/>
              <w:rPr>
                <w:rFonts w:hint="eastAsia"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4247" w:type="dxa"/>
            <w:gridSpan w:val="2"/>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科目名称</w:t>
            </w:r>
          </w:p>
        </w:tc>
        <w:tc>
          <w:tcPr>
            <w:tcW w:w="1234"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194"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66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1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39"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45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656"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gridAfter w:val="1"/>
          <w:wAfter w:w="734" w:type="dxa"/>
          <w:trHeight w:val="312" w:hRule="atLeast"/>
          <w:jc w:val="center"/>
        </w:trPr>
        <w:tc>
          <w:tcPr>
            <w:tcW w:w="1647"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247"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34"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194"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66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1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39"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45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656"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gridAfter w:val="1"/>
          <w:wAfter w:w="734" w:type="dxa"/>
          <w:trHeight w:val="312" w:hRule="atLeast"/>
          <w:jc w:val="center"/>
        </w:trPr>
        <w:tc>
          <w:tcPr>
            <w:tcW w:w="1647"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247"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34"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194"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66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1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39"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45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656"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gridAfter w:val="1"/>
          <w:wAfter w:w="734" w:type="dxa"/>
          <w:trHeight w:val="258" w:hRule="atLeast"/>
          <w:jc w:val="center"/>
        </w:trPr>
        <w:tc>
          <w:tcPr>
            <w:tcW w:w="5894" w:type="dxa"/>
            <w:gridSpan w:val="6"/>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栏次</w:t>
            </w:r>
          </w:p>
        </w:tc>
        <w:tc>
          <w:tcPr>
            <w:tcW w:w="1234"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w:t>
            </w:r>
          </w:p>
        </w:tc>
        <w:tc>
          <w:tcPr>
            <w:tcW w:w="2194"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w:t>
            </w:r>
          </w:p>
        </w:tc>
        <w:tc>
          <w:tcPr>
            <w:tcW w:w="660"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w:t>
            </w:r>
          </w:p>
        </w:tc>
        <w:tc>
          <w:tcPr>
            <w:tcW w:w="1114" w:type="dxa"/>
            <w:tcBorders>
              <w:top w:val="nil"/>
              <w:left w:val="nil"/>
              <w:bottom w:val="single" w:color="000000" w:sz="4" w:space="0"/>
              <w:right w:val="single" w:color="000000" w:sz="4" w:space="0"/>
            </w:tcBorders>
            <w:shd w:val="clear" w:color="FFFFFF" w:fill="C0C0C0"/>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w:t>
            </w:r>
          </w:p>
        </w:tc>
        <w:tc>
          <w:tcPr>
            <w:tcW w:w="1139"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w:t>
            </w:r>
          </w:p>
        </w:tc>
        <w:tc>
          <w:tcPr>
            <w:tcW w:w="1450"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6</w:t>
            </w:r>
          </w:p>
        </w:tc>
        <w:tc>
          <w:tcPr>
            <w:tcW w:w="1656"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7</w:t>
            </w:r>
          </w:p>
        </w:tc>
      </w:tr>
      <w:tr>
        <w:tblPrEx>
          <w:tblLayout w:type="fixed"/>
          <w:tblCellMar>
            <w:top w:w="0" w:type="dxa"/>
            <w:left w:w="108" w:type="dxa"/>
            <w:bottom w:w="0" w:type="dxa"/>
            <w:right w:w="108" w:type="dxa"/>
          </w:tblCellMar>
        </w:tblPrEx>
        <w:trPr>
          <w:gridAfter w:val="1"/>
          <w:wAfter w:w="734" w:type="dxa"/>
          <w:trHeight w:val="258" w:hRule="atLeast"/>
          <w:jc w:val="center"/>
        </w:trPr>
        <w:tc>
          <w:tcPr>
            <w:tcW w:w="5894" w:type="dxa"/>
            <w:gridSpan w:val="6"/>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合计</w:t>
            </w:r>
          </w:p>
        </w:tc>
        <w:tc>
          <w:tcPr>
            <w:tcW w:w="12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color w:val="000000"/>
                <w:kern w:val="0"/>
                <w:sz w:val="22"/>
              </w:rPr>
            </w:pPr>
            <w:r>
              <w:rPr>
                <w:rFonts w:hint="eastAsia" w:ascii="宋体" w:hAnsi="宋体" w:eastAsia="宋体" w:cs="Arial"/>
                <w:b/>
                <w:bCs/>
                <w:color w:val="000000"/>
                <w:kern w:val="0"/>
                <w:sz w:val="22"/>
              </w:rPr>
              <w:t>1,376.11</w:t>
            </w:r>
          </w:p>
        </w:tc>
        <w:tc>
          <w:tcPr>
            <w:tcW w:w="21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color w:val="000000"/>
                <w:kern w:val="0"/>
                <w:sz w:val="22"/>
              </w:rPr>
            </w:pPr>
            <w:r>
              <w:rPr>
                <w:rFonts w:hint="eastAsia" w:ascii="宋体" w:hAnsi="宋体" w:eastAsia="宋体" w:cs="Arial"/>
                <w:b/>
                <w:bCs/>
                <w:color w:val="000000"/>
                <w:kern w:val="0"/>
                <w:sz w:val="22"/>
              </w:rPr>
              <w:t>1,376.11</w:t>
            </w:r>
          </w:p>
        </w:tc>
        <w:tc>
          <w:tcPr>
            <w:tcW w:w="6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111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113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145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1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color w:val="000000"/>
                <w:kern w:val="0"/>
                <w:sz w:val="22"/>
              </w:rPr>
            </w:pPr>
            <w:r>
              <w:rPr>
                <w:rFonts w:hint="eastAsia" w:ascii="宋体" w:hAnsi="宋体" w:eastAsia="宋体" w:cs="Arial"/>
                <w:b/>
                <w:bCs/>
                <w:color w:val="000000"/>
                <w:kern w:val="0"/>
                <w:sz w:val="22"/>
              </w:rPr>
              <w:t>0.00</w:t>
            </w:r>
          </w:p>
        </w:tc>
      </w:tr>
      <w:tr>
        <w:tblPrEx>
          <w:tblLayout w:type="fixed"/>
          <w:tblCellMar>
            <w:top w:w="0" w:type="dxa"/>
            <w:left w:w="108" w:type="dxa"/>
            <w:bottom w:w="0" w:type="dxa"/>
            <w:right w:w="108" w:type="dxa"/>
          </w:tblCellMar>
        </w:tblPrEx>
        <w:trPr>
          <w:gridAfter w:val="1"/>
          <w:wAfter w:w="734" w:type="dxa"/>
          <w:trHeight w:val="258" w:hRule="atLeast"/>
          <w:jc w:val="center"/>
        </w:trPr>
        <w:tc>
          <w:tcPr>
            <w:tcW w:w="1647"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205</w:t>
            </w:r>
          </w:p>
        </w:tc>
        <w:tc>
          <w:tcPr>
            <w:tcW w:w="42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教育支出</w:t>
            </w:r>
          </w:p>
        </w:tc>
        <w:tc>
          <w:tcPr>
            <w:tcW w:w="12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1,229.78</w:t>
            </w:r>
          </w:p>
        </w:tc>
        <w:tc>
          <w:tcPr>
            <w:tcW w:w="21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1,229.78</w:t>
            </w:r>
          </w:p>
        </w:tc>
        <w:tc>
          <w:tcPr>
            <w:tcW w:w="6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1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45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gridAfter w:val="1"/>
          <w:wAfter w:w="734" w:type="dxa"/>
          <w:trHeight w:val="258" w:hRule="atLeast"/>
          <w:jc w:val="center"/>
        </w:trPr>
        <w:tc>
          <w:tcPr>
            <w:tcW w:w="1647"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20501</w:t>
            </w:r>
          </w:p>
        </w:tc>
        <w:tc>
          <w:tcPr>
            <w:tcW w:w="42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教育管理事务</w:t>
            </w:r>
          </w:p>
        </w:tc>
        <w:tc>
          <w:tcPr>
            <w:tcW w:w="12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340.45</w:t>
            </w:r>
          </w:p>
        </w:tc>
        <w:tc>
          <w:tcPr>
            <w:tcW w:w="21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340.45</w:t>
            </w:r>
          </w:p>
        </w:tc>
        <w:tc>
          <w:tcPr>
            <w:tcW w:w="6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1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45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gridAfter w:val="1"/>
          <w:wAfter w:w="734" w:type="dxa"/>
          <w:trHeight w:val="258" w:hRule="atLeast"/>
          <w:jc w:val="center"/>
        </w:trPr>
        <w:tc>
          <w:tcPr>
            <w:tcW w:w="1647"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2050199</w:t>
            </w:r>
          </w:p>
        </w:tc>
        <w:tc>
          <w:tcPr>
            <w:tcW w:w="42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其他教育管理事务支出</w:t>
            </w:r>
          </w:p>
        </w:tc>
        <w:tc>
          <w:tcPr>
            <w:tcW w:w="12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340.45</w:t>
            </w:r>
          </w:p>
        </w:tc>
        <w:tc>
          <w:tcPr>
            <w:tcW w:w="21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340.45</w:t>
            </w:r>
          </w:p>
        </w:tc>
        <w:tc>
          <w:tcPr>
            <w:tcW w:w="6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1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45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gridAfter w:val="1"/>
          <w:wAfter w:w="734" w:type="dxa"/>
          <w:trHeight w:val="258" w:hRule="atLeast"/>
          <w:jc w:val="center"/>
        </w:trPr>
        <w:tc>
          <w:tcPr>
            <w:tcW w:w="1647"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20502</w:t>
            </w:r>
          </w:p>
        </w:tc>
        <w:tc>
          <w:tcPr>
            <w:tcW w:w="42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普通教育</w:t>
            </w:r>
          </w:p>
        </w:tc>
        <w:tc>
          <w:tcPr>
            <w:tcW w:w="12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228.00</w:t>
            </w:r>
          </w:p>
        </w:tc>
        <w:tc>
          <w:tcPr>
            <w:tcW w:w="21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228.00</w:t>
            </w:r>
          </w:p>
        </w:tc>
        <w:tc>
          <w:tcPr>
            <w:tcW w:w="6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1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45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gridAfter w:val="1"/>
          <w:wAfter w:w="734" w:type="dxa"/>
          <w:trHeight w:val="258" w:hRule="atLeast"/>
          <w:jc w:val="center"/>
        </w:trPr>
        <w:tc>
          <w:tcPr>
            <w:tcW w:w="1647"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2050299</w:t>
            </w:r>
          </w:p>
        </w:tc>
        <w:tc>
          <w:tcPr>
            <w:tcW w:w="42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其他普通教育支出</w:t>
            </w:r>
          </w:p>
        </w:tc>
        <w:tc>
          <w:tcPr>
            <w:tcW w:w="12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228.00</w:t>
            </w:r>
          </w:p>
        </w:tc>
        <w:tc>
          <w:tcPr>
            <w:tcW w:w="21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228.00</w:t>
            </w:r>
          </w:p>
        </w:tc>
        <w:tc>
          <w:tcPr>
            <w:tcW w:w="6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1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45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gridAfter w:val="1"/>
          <w:wAfter w:w="734" w:type="dxa"/>
          <w:trHeight w:val="258" w:hRule="atLeast"/>
          <w:jc w:val="center"/>
        </w:trPr>
        <w:tc>
          <w:tcPr>
            <w:tcW w:w="1647"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20509</w:t>
            </w:r>
          </w:p>
        </w:tc>
        <w:tc>
          <w:tcPr>
            <w:tcW w:w="42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教育费附加安排的支出</w:t>
            </w:r>
          </w:p>
        </w:tc>
        <w:tc>
          <w:tcPr>
            <w:tcW w:w="12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661.33</w:t>
            </w:r>
          </w:p>
        </w:tc>
        <w:tc>
          <w:tcPr>
            <w:tcW w:w="21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661.33</w:t>
            </w:r>
          </w:p>
        </w:tc>
        <w:tc>
          <w:tcPr>
            <w:tcW w:w="6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1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45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gridAfter w:val="1"/>
          <w:wAfter w:w="734" w:type="dxa"/>
          <w:trHeight w:val="258" w:hRule="atLeast"/>
          <w:jc w:val="center"/>
        </w:trPr>
        <w:tc>
          <w:tcPr>
            <w:tcW w:w="1647"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2050999</w:t>
            </w:r>
          </w:p>
        </w:tc>
        <w:tc>
          <w:tcPr>
            <w:tcW w:w="42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其他教育费附加安排的支出</w:t>
            </w:r>
          </w:p>
        </w:tc>
        <w:tc>
          <w:tcPr>
            <w:tcW w:w="12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661.33</w:t>
            </w:r>
          </w:p>
        </w:tc>
        <w:tc>
          <w:tcPr>
            <w:tcW w:w="21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661.33</w:t>
            </w:r>
          </w:p>
        </w:tc>
        <w:tc>
          <w:tcPr>
            <w:tcW w:w="6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1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45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gridAfter w:val="1"/>
          <w:wAfter w:w="734" w:type="dxa"/>
          <w:trHeight w:val="258" w:hRule="atLeast"/>
          <w:jc w:val="center"/>
        </w:trPr>
        <w:tc>
          <w:tcPr>
            <w:tcW w:w="1647"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208</w:t>
            </w:r>
          </w:p>
        </w:tc>
        <w:tc>
          <w:tcPr>
            <w:tcW w:w="42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12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75.49</w:t>
            </w:r>
          </w:p>
        </w:tc>
        <w:tc>
          <w:tcPr>
            <w:tcW w:w="21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75.49</w:t>
            </w:r>
          </w:p>
        </w:tc>
        <w:tc>
          <w:tcPr>
            <w:tcW w:w="6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1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45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gridAfter w:val="1"/>
          <w:wAfter w:w="734" w:type="dxa"/>
          <w:trHeight w:val="258" w:hRule="atLeast"/>
          <w:jc w:val="center"/>
        </w:trPr>
        <w:tc>
          <w:tcPr>
            <w:tcW w:w="1647"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20805</w:t>
            </w:r>
          </w:p>
        </w:tc>
        <w:tc>
          <w:tcPr>
            <w:tcW w:w="42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行政事业单位养老支出</w:t>
            </w:r>
          </w:p>
        </w:tc>
        <w:tc>
          <w:tcPr>
            <w:tcW w:w="12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58.37</w:t>
            </w:r>
          </w:p>
        </w:tc>
        <w:tc>
          <w:tcPr>
            <w:tcW w:w="21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58.37</w:t>
            </w:r>
          </w:p>
        </w:tc>
        <w:tc>
          <w:tcPr>
            <w:tcW w:w="6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1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45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gridAfter w:val="1"/>
          <w:wAfter w:w="734" w:type="dxa"/>
          <w:trHeight w:val="258" w:hRule="atLeast"/>
          <w:jc w:val="center"/>
        </w:trPr>
        <w:tc>
          <w:tcPr>
            <w:tcW w:w="1647"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2080505</w:t>
            </w:r>
          </w:p>
        </w:tc>
        <w:tc>
          <w:tcPr>
            <w:tcW w:w="42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12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58.37</w:t>
            </w:r>
          </w:p>
        </w:tc>
        <w:tc>
          <w:tcPr>
            <w:tcW w:w="21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58.37</w:t>
            </w:r>
          </w:p>
        </w:tc>
        <w:tc>
          <w:tcPr>
            <w:tcW w:w="6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1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45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gridAfter w:val="1"/>
          <w:wAfter w:w="734" w:type="dxa"/>
          <w:trHeight w:val="258" w:hRule="atLeast"/>
          <w:jc w:val="center"/>
        </w:trPr>
        <w:tc>
          <w:tcPr>
            <w:tcW w:w="1647"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20808</w:t>
            </w:r>
          </w:p>
        </w:tc>
        <w:tc>
          <w:tcPr>
            <w:tcW w:w="42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抚恤</w:t>
            </w:r>
          </w:p>
        </w:tc>
        <w:tc>
          <w:tcPr>
            <w:tcW w:w="12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10.79</w:t>
            </w:r>
          </w:p>
        </w:tc>
        <w:tc>
          <w:tcPr>
            <w:tcW w:w="21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10.79</w:t>
            </w:r>
          </w:p>
        </w:tc>
        <w:tc>
          <w:tcPr>
            <w:tcW w:w="6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1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45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gridAfter w:val="1"/>
          <w:wAfter w:w="734" w:type="dxa"/>
          <w:trHeight w:val="258" w:hRule="atLeast"/>
          <w:jc w:val="center"/>
        </w:trPr>
        <w:tc>
          <w:tcPr>
            <w:tcW w:w="1647"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2080899</w:t>
            </w:r>
          </w:p>
        </w:tc>
        <w:tc>
          <w:tcPr>
            <w:tcW w:w="42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其他优抚支出</w:t>
            </w:r>
          </w:p>
        </w:tc>
        <w:tc>
          <w:tcPr>
            <w:tcW w:w="12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10.79</w:t>
            </w:r>
          </w:p>
        </w:tc>
        <w:tc>
          <w:tcPr>
            <w:tcW w:w="21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10.79</w:t>
            </w:r>
          </w:p>
        </w:tc>
        <w:tc>
          <w:tcPr>
            <w:tcW w:w="6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1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45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gridAfter w:val="1"/>
          <w:wAfter w:w="734" w:type="dxa"/>
          <w:trHeight w:val="258" w:hRule="atLeast"/>
          <w:jc w:val="center"/>
        </w:trPr>
        <w:tc>
          <w:tcPr>
            <w:tcW w:w="1647"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20811</w:t>
            </w:r>
          </w:p>
        </w:tc>
        <w:tc>
          <w:tcPr>
            <w:tcW w:w="42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残疾人事业</w:t>
            </w:r>
          </w:p>
        </w:tc>
        <w:tc>
          <w:tcPr>
            <w:tcW w:w="12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3.38</w:t>
            </w:r>
          </w:p>
        </w:tc>
        <w:tc>
          <w:tcPr>
            <w:tcW w:w="21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3.38</w:t>
            </w:r>
          </w:p>
        </w:tc>
        <w:tc>
          <w:tcPr>
            <w:tcW w:w="6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1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45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gridAfter w:val="1"/>
          <w:wAfter w:w="734" w:type="dxa"/>
          <w:trHeight w:val="258" w:hRule="atLeast"/>
          <w:jc w:val="center"/>
        </w:trPr>
        <w:tc>
          <w:tcPr>
            <w:tcW w:w="1647"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2081199</w:t>
            </w:r>
          </w:p>
        </w:tc>
        <w:tc>
          <w:tcPr>
            <w:tcW w:w="42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其他残疾人事业支出</w:t>
            </w:r>
          </w:p>
        </w:tc>
        <w:tc>
          <w:tcPr>
            <w:tcW w:w="12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3.38</w:t>
            </w:r>
          </w:p>
        </w:tc>
        <w:tc>
          <w:tcPr>
            <w:tcW w:w="21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3.38</w:t>
            </w:r>
          </w:p>
        </w:tc>
        <w:tc>
          <w:tcPr>
            <w:tcW w:w="6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1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45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gridAfter w:val="1"/>
          <w:wAfter w:w="734" w:type="dxa"/>
          <w:trHeight w:val="258" w:hRule="atLeast"/>
          <w:jc w:val="center"/>
        </w:trPr>
        <w:tc>
          <w:tcPr>
            <w:tcW w:w="1647"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20827</w:t>
            </w:r>
          </w:p>
        </w:tc>
        <w:tc>
          <w:tcPr>
            <w:tcW w:w="42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财政对其他社会保险基金的补助</w:t>
            </w:r>
          </w:p>
        </w:tc>
        <w:tc>
          <w:tcPr>
            <w:tcW w:w="12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2.95</w:t>
            </w:r>
          </w:p>
        </w:tc>
        <w:tc>
          <w:tcPr>
            <w:tcW w:w="21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2.95</w:t>
            </w:r>
          </w:p>
        </w:tc>
        <w:tc>
          <w:tcPr>
            <w:tcW w:w="6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1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45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gridAfter w:val="1"/>
          <w:wAfter w:w="734" w:type="dxa"/>
          <w:trHeight w:val="258" w:hRule="atLeast"/>
          <w:jc w:val="center"/>
        </w:trPr>
        <w:tc>
          <w:tcPr>
            <w:tcW w:w="1647"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2082702</w:t>
            </w:r>
          </w:p>
        </w:tc>
        <w:tc>
          <w:tcPr>
            <w:tcW w:w="42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财政对工伤保险基金的补助</w:t>
            </w:r>
          </w:p>
        </w:tc>
        <w:tc>
          <w:tcPr>
            <w:tcW w:w="12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2.95</w:t>
            </w:r>
          </w:p>
        </w:tc>
        <w:tc>
          <w:tcPr>
            <w:tcW w:w="21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2.95</w:t>
            </w:r>
          </w:p>
        </w:tc>
        <w:tc>
          <w:tcPr>
            <w:tcW w:w="6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1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45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gridAfter w:val="1"/>
          <w:wAfter w:w="734" w:type="dxa"/>
          <w:trHeight w:val="258" w:hRule="atLeast"/>
          <w:jc w:val="center"/>
        </w:trPr>
        <w:tc>
          <w:tcPr>
            <w:tcW w:w="1647"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210</w:t>
            </w:r>
          </w:p>
        </w:tc>
        <w:tc>
          <w:tcPr>
            <w:tcW w:w="42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12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27.06</w:t>
            </w:r>
          </w:p>
        </w:tc>
        <w:tc>
          <w:tcPr>
            <w:tcW w:w="21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27.06</w:t>
            </w:r>
          </w:p>
        </w:tc>
        <w:tc>
          <w:tcPr>
            <w:tcW w:w="6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1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45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gridAfter w:val="1"/>
          <w:wAfter w:w="734" w:type="dxa"/>
          <w:trHeight w:val="258" w:hRule="atLeast"/>
          <w:jc w:val="center"/>
        </w:trPr>
        <w:tc>
          <w:tcPr>
            <w:tcW w:w="1647"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21011</w:t>
            </w:r>
          </w:p>
        </w:tc>
        <w:tc>
          <w:tcPr>
            <w:tcW w:w="42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12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27.06</w:t>
            </w:r>
          </w:p>
        </w:tc>
        <w:tc>
          <w:tcPr>
            <w:tcW w:w="21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27.06</w:t>
            </w:r>
          </w:p>
        </w:tc>
        <w:tc>
          <w:tcPr>
            <w:tcW w:w="6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1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45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gridAfter w:val="1"/>
          <w:wAfter w:w="734" w:type="dxa"/>
          <w:trHeight w:val="258" w:hRule="atLeast"/>
          <w:jc w:val="center"/>
        </w:trPr>
        <w:tc>
          <w:tcPr>
            <w:tcW w:w="1647"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2101102</w:t>
            </w:r>
          </w:p>
        </w:tc>
        <w:tc>
          <w:tcPr>
            <w:tcW w:w="42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事业单位医疗</w:t>
            </w:r>
          </w:p>
        </w:tc>
        <w:tc>
          <w:tcPr>
            <w:tcW w:w="12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27.06</w:t>
            </w:r>
          </w:p>
        </w:tc>
        <w:tc>
          <w:tcPr>
            <w:tcW w:w="21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27.06</w:t>
            </w:r>
          </w:p>
        </w:tc>
        <w:tc>
          <w:tcPr>
            <w:tcW w:w="6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1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45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gridAfter w:val="1"/>
          <w:wAfter w:w="734" w:type="dxa"/>
          <w:trHeight w:val="258" w:hRule="atLeast"/>
          <w:jc w:val="center"/>
        </w:trPr>
        <w:tc>
          <w:tcPr>
            <w:tcW w:w="1647"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221</w:t>
            </w:r>
          </w:p>
        </w:tc>
        <w:tc>
          <w:tcPr>
            <w:tcW w:w="42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12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43.78</w:t>
            </w:r>
          </w:p>
        </w:tc>
        <w:tc>
          <w:tcPr>
            <w:tcW w:w="21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43.78</w:t>
            </w:r>
          </w:p>
        </w:tc>
        <w:tc>
          <w:tcPr>
            <w:tcW w:w="6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1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45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gridAfter w:val="1"/>
          <w:wAfter w:w="734" w:type="dxa"/>
          <w:trHeight w:val="258" w:hRule="atLeast"/>
          <w:jc w:val="center"/>
        </w:trPr>
        <w:tc>
          <w:tcPr>
            <w:tcW w:w="1647"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22102</w:t>
            </w:r>
          </w:p>
        </w:tc>
        <w:tc>
          <w:tcPr>
            <w:tcW w:w="42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12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43.78</w:t>
            </w:r>
          </w:p>
        </w:tc>
        <w:tc>
          <w:tcPr>
            <w:tcW w:w="21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43.78</w:t>
            </w:r>
          </w:p>
        </w:tc>
        <w:tc>
          <w:tcPr>
            <w:tcW w:w="6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1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45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gridAfter w:val="1"/>
          <w:wAfter w:w="734" w:type="dxa"/>
          <w:trHeight w:val="258" w:hRule="atLeast"/>
          <w:jc w:val="center"/>
        </w:trPr>
        <w:tc>
          <w:tcPr>
            <w:tcW w:w="1647"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2210201</w:t>
            </w:r>
          </w:p>
        </w:tc>
        <w:tc>
          <w:tcPr>
            <w:tcW w:w="42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12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43.78</w:t>
            </w:r>
          </w:p>
        </w:tc>
        <w:tc>
          <w:tcPr>
            <w:tcW w:w="21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43.78</w:t>
            </w:r>
          </w:p>
        </w:tc>
        <w:tc>
          <w:tcPr>
            <w:tcW w:w="6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1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45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gridBefore w:val="1"/>
          <w:wBefore w:w="619" w:type="dxa"/>
          <w:trHeight w:val="390" w:hRule="atLeast"/>
          <w:jc w:val="center"/>
        </w:trPr>
        <w:tc>
          <w:tcPr>
            <w:tcW w:w="344" w:type="dxa"/>
            <w:tcBorders>
              <w:top w:val="nil"/>
              <w:left w:val="nil"/>
              <w:right w:val="nil"/>
            </w:tcBorders>
            <w:shd w:val="clear" w:color="auto" w:fill="auto"/>
            <w:noWrap/>
            <w:vAlign w:val="bottom"/>
          </w:tcPr>
          <w:p>
            <w:pPr>
              <w:widowControl/>
              <w:jc w:val="center"/>
              <w:rPr>
                <w:rFonts w:ascii="宋体" w:hAnsi="宋体" w:eastAsia="宋体" w:cs="宋体"/>
                <w:kern w:val="0"/>
                <w:sz w:val="20"/>
                <w:szCs w:val="20"/>
              </w:rPr>
            </w:pPr>
            <w:r>
              <w:rPr>
                <w:rFonts w:ascii="Times New Roman" w:hAnsi="Times New Roman" w:eastAsia="黑体" w:cs="Times New Roman"/>
                <w:bCs/>
                <w:kern w:val="0"/>
                <w:sz w:val="32"/>
                <w:szCs w:val="32"/>
              </w:rPr>
              <w:br w:type="page"/>
            </w:r>
          </w:p>
        </w:tc>
        <w:tc>
          <w:tcPr>
            <w:tcW w:w="341" w:type="dxa"/>
            <w:tcBorders>
              <w:top w:val="nil"/>
              <w:left w:val="nil"/>
              <w:right w:val="nil"/>
            </w:tcBorders>
            <w:shd w:val="clear" w:color="auto" w:fill="auto"/>
            <w:noWrap/>
            <w:vAlign w:val="bottom"/>
          </w:tcPr>
          <w:p>
            <w:pPr>
              <w:widowControl/>
              <w:jc w:val="center"/>
              <w:rPr>
                <w:rFonts w:ascii="Times New Roman" w:hAnsi="Times New Roman" w:eastAsia="Times New Roman" w:cs="Times New Roman"/>
                <w:kern w:val="0"/>
                <w:sz w:val="20"/>
                <w:szCs w:val="20"/>
              </w:rPr>
            </w:pPr>
          </w:p>
        </w:tc>
        <w:tc>
          <w:tcPr>
            <w:tcW w:w="1442" w:type="dxa"/>
            <w:gridSpan w:val="2"/>
            <w:tcBorders>
              <w:top w:val="nil"/>
              <w:left w:val="nil"/>
            </w:tcBorders>
            <w:shd w:val="clear" w:color="auto" w:fill="auto"/>
            <w:noWrap/>
            <w:vAlign w:val="bottom"/>
          </w:tcPr>
          <w:p>
            <w:pPr>
              <w:widowControl/>
              <w:jc w:val="center"/>
              <w:rPr>
                <w:rFonts w:ascii="Times New Roman" w:hAnsi="Times New Roman" w:eastAsia="Times New Roman" w:cs="Times New Roman"/>
                <w:kern w:val="0"/>
                <w:sz w:val="20"/>
                <w:szCs w:val="20"/>
              </w:rPr>
            </w:pPr>
          </w:p>
        </w:tc>
        <w:tc>
          <w:tcPr>
            <w:tcW w:w="3969" w:type="dxa"/>
            <w:gridSpan w:val="2"/>
            <w:shd w:val="clear" w:color="auto" w:fill="auto"/>
            <w:noWrap/>
            <w:vAlign w:val="bottom"/>
          </w:tcPr>
          <w:p>
            <w:pPr>
              <w:widowControl/>
              <w:jc w:val="center"/>
              <w:rPr>
                <w:rFonts w:ascii="Times New Roman" w:hAnsi="Times New Roman" w:cs="Times New Roman"/>
                <w:kern w:val="0"/>
                <w:sz w:val="20"/>
                <w:szCs w:val="20"/>
              </w:rPr>
            </w:pPr>
          </w:p>
          <w:p>
            <w:pPr>
              <w:widowControl/>
              <w:jc w:val="center"/>
              <w:rPr>
                <w:rFonts w:hint="eastAsia" w:ascii="Times New Roman" w:hAnsi="Times New Roman" w:cs="Times New Roman"/>
                <w:kern w:val="0"/>
                <w:sz w:val="20"/>
                <w:szCs w:val="20"/>
              </w:rPr>
            </w:pPr>
          </w:p>
        </w:tc>
        <w:tc>
          <w:tcPr>
            <w:tcW w:w="3111" w:type="dxa"/>
            <w:gridSpan w:val="4"/>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支出决算表</w:t>
            </w:r>
          </w:p>
        </w:tc>
        <w:tc>
          <w:tcPr>
            <w:tcW w:w="1885" w:type="dxa"/>
            <w:gridSpan w:val="3"/>
            <w:shd w:val="clear" w:color="auto" w:fill="auto"/>
            <w:noWrap/>
            <w:vAlign w:val="bottom"/>
          </w:tcPr>
          <w:p>
            <w:pPr>
              <w:widowControl/>
              <w:jc w:val="center"/>
              <w:rPr>
                <w:rFonts w:hint="eastAsia" w:ascii="宋体" w:hAnsi="宋体" w:eastAsia="宋体" w:cs="Arial"/>
                <w:color w:val="000000"/>
                <w:kern w:val="0"/>
                <w:sz w:val="30"/>
                <w:szCs w:val="30"/>
              </w:rPr>
            </w:pPr>
          </w:p>
        </w:tc>
        <w:tc>
          <w:tcPr>
            <w:tcW w:w="1559" w:type="dxa"/>
            <w:gridSpan w:val="2"/>
            <w:shd w:val="clear" w:color="auto" w:fill="auto"/>
            <w:noWrap/>
            <w:vAlign w:val="bottom"/>
          </w:tcPr>
          <w:p>
            <w:pPr>
              <w:widowControl/>
              <w:jc w:val="center"/>
              <w:rPr>
                <w:rFonts w:ascii="Times New Roman" w:hAnsi="Times New Roman" w:eastAsia="Times New Roman" w:cs="Times New Roman"/>
                <w:kern w:val="0"/>
                <w:sz w:val="20"/>
                <w:szCs w:val="20"/>
              </w:rPr>
            </w:pPr>
          </w:p>
        </w:tc>
        <w:tc>
          <w:tcPr>
            <w:tcW w:w="1134" w:type="dxa"/>
            <w:gridSpan w:val="2"/>
            <w:shd w:val="clear" w:color="auto" w:fill="auto"/>
            <w:noWrap/>
            <w:vAlign w:val="bottom"/>
          </w:tcPr>
          <w:p>
            <w:pPr>
              <w:widowControl/>
              <w:jc w:val="center"/>
              <w:rPr>
                <w:rFonts w:ascii="Times New Roman" w:hAnsi="Times New Roman" w:eastAsia="Times New Roman" w:cs="Times New Roman"/>
                <w:kern w:val="0"/>
                <w:sz w:val="20"/>
                <w:szCs w:val="20"/>
              </w:rPr>
            </w:pPr>
          </w:p>
        </w:tc>
        <w:tc>
          <w:tcPr>
            <w:tcW w:w="1671" w:type="dxa"/>
            <w:gridSpan w:val="2"/>
            <w:shd w:val="clear" w:color="auto" w:fill="auto"/>
            <w:noWrap/>
            <w:vAlign w:val="bottom"/>
          </w:tcPr>
          <w:p>
            <w:pPr>
              <w:widowControl/>
              <w:jc w:val="center"/>
              <w:rPr>
                <w:rFonts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gridBefore w:val="1"/>
          <w:wBefore w:w="619" w:type="dxa"/>
          <w:trHeight w:val="255" w:hRule="atLeast"/>
          <w:jc w:val="center"/>
        </w:trPr>
        <w:tc>
          <w:tcPr>
            <w:tcW w:w="344" w:type="dxa"/>
            <w:tcBorders>
              <w:top w:val="nil"/>
              <w:lef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341" w:type="dxa"/>
            <w:shd w:val="clear" w:color="auto" w:fill="auto"/>
            <w:noWrap/>
            <w:vAlign w:val="bottom"/>
          </w:tcPr>
          <w:p>
            <w:pPr>
              <w:widowControl/>
              <w:jc w:val="center"/>
              <w:rPr>
                <w:rFonts w:ascii="Times New Roman" w:hAnsi="Times New Roman" w:eastAsia="Times New Roman" w:cs="Times New Roman"/>
                <w:kern w:val="0"/>
                <w:sz w:val="20"/>
                <w:szCs w:val="20"/>
              </w:rPr>
            </w:pPr>
          </w:p>
        </w:tc>
        <w:tc>
          <w:tcPr>
            <w:tcW w:w="1442" w:type="dxa"/>
            <w:gridSpan w:val="2"/>
            <w:shd w:val="clear" w:color="auto" w:fill="auto"/>
            <w:noWrap/>
            <w:vAlign w:val="bottom"/>
          </w:tcPr>
          <w:p>
            <w:pPr>
              <w:widowControl/>
              <w:jc w:val="center"/>
              <w:rPr>
                <w:rFonts w:ascii="Times New Roman" w:hAnsi="Times New Roman" w:eastAsia="Times New Roman" w:cs="Times New Roman"/>
                <w:kern w:val="0"/>
                <w:sz w:val="20"/>
                <w:szCs w:val="20"/>
              </w:rPr>
            </w:pPr>
          </w:p>
        </w:tc>
        <w:tc>
          <w:tcPr>
            <w:tcW w:w="3969" w:type="dxa"/>
            <w:gridSpan w:val="2"/>
            <w:shd w:val="clear" w:color="auto" w:fill="auto"/>
            <w:noWrap/>
            <w:vAlign w:val="bottom"/>
          </w:tcPr>
          <w:p>
            <w:pPr>
              <w:widowControl/>
              <w:jc w:val="center"/>
              <w:rPr>
                <w:rFonts w:ascii="Times New Roman" w:hAnsi="Times New Roman" w:eastAsia="Times New Roman" w:cs="Times New Roman"/>
                <w:kern w:val="0"/>
                <w:sz w:val="20"/>
                <w:szCs w:val="20"/>
              </w:rPr>
            </w:pPr>
          </w:p>
        </w:tc>
        <w:tc>
          <w:tcPr>
            <w:tcW w:w="1701" w:type="dxa"/>
            <w:gridSpan w:val="2"/>
            <w:tcBorders>
              <w:left w:val="nil"/>
            </w:tcBorders>
            <w:shd w:val="clear" w:color="auto" w:fill="auto"/>
            <w:noWrap/>
            <w:vAlign w:val="bottom"/>
          </w:tcPr>
          <w:p>
            <w:pPr>
              <w:widowControl/>
              <w:jc w:val="center"/>
              <w:rPr>
                <w:rFonts w:ascii="Times New Roman" w:hAnsi="Times New Roman" w:eastAsia="Times New Roman" w:cs="Times New Roman"/>
                <w:kern w:val="0"/>
                <w:sz w:val="20"/>
                <w:szCs w:val="20"/>
              </w:rPr>
            </w:pPr>
          </w:p>
        </w:tc>
        <w:tc>
          <w:tcPr>
            <w:tcW w:w="1410" w:type="dxa"/>
            <w:gridSpan w:val="2"/>
            <w:shd w:val="clear" w:color="auto" w:fill="auto"/>
            <w:noWrap/>
            <w:vAlign w:val="bottom"/>
          </w:tcPr>
          <w:p>
            <w:pPr>
              <w:widowControl/>
              <w:jc w:val="center"/>
              <w:rPr>
                <w:rFonts w:ascii="Times New Roman" w:hAnsi="Times New Roman" w:eastAsia="Times New Roman" w:cs="Times New Roman"/>
                <w:kern w:val="0"/>
                <w:sz w:val="20"/>
                <w:szCs w:val="20"/>
              </w:rPr>
            </w:pPr>
          </w:p>
        </w:tc>
        <w:tc>
          <w:tcPr>
            <w:tcW w:w="1885" w:type="dxa"/>
            <w:gridSpan w:val="3"/>
            <w:shd w:val="clear" w:color="auto" w:fill="auto"/>
            <w:noWrap/>
            <w:vAlign w:val="bottom"/>
          </w:tcPr>
          <w:p>
            <w:pPr>
              <w:widowControl/>
              <w:jc w:val="center"/>
              <w:rPr>
                <w:rFonts w:ascii="Times New Roman" w:hAnsi="Times New Roman" w:eastAsia="Times New Roman" w:cs="Times New Roman"/>
                <w:kern w:val="0"/>
                <w:sz w:val="20"/>
                <w:szCs w:val="20"/>
              </w:rPr>
            </w:pPr>
          </w:p>
        </w:tc>
        <w:tc>
          <w:tcPr>
            <w:tcW w:w="1559" w:type="dxa"/>
            <w:gridSpan w:val="2"/>
            <w:shd w:val="clear" w:color="auto" w:fill="auto"/>
            <w:noWrap/>
            <w:vAlign w:val="bottom"/>
          </w:tcPr>
          <w:p>
            <w:pPr>
              <w:widowControl/>
              <w:jc w:val="center"/>
              <w:rPr>
                <w:rFonts w:ascii="Times New Roman" w:hAnsi="Times New Roman" w:eastAsia="Times New Roman" w:cs="Times New Roman"/>
                <w:kern w:val="0"/>
                <w:sz w:val="20"/>
                <w:szCs w:val="20"/>
              </w:rPr>
            </w:pPr>
          </w:p>
        </w:tc>
        <w:tc>
          <w:tcPr>
            <w:tcW w:w="1134" w:type="dxa"/>
            <w:gridSpan w:val="2"/>
            <w:shd w:val="clear" w:color="auto" w:fill="auto"/>
            <w:noWrap/>
            <w:vAlign w:val="bottom"/>
          </w:tcPr>
          <w:p>
            <w:pPr>
              <w:widowControl/>
              <w:jc w:val="center"/>
              <w:rPr>
                <w:rFonts w:ascii="Times New Roman" w:hAnsi="Times New Roman" w:eastAsia="Times New Roman" w:cs="Times New Roman"/>
                <w:kern w:val="0"/>
                <w:sz w:val="20"/>
                <w:szCs w:val="20"/>
              </w:rPr>
            </w:pPr>
          </w:p>
        </w:tc>
        <w:tc>
          <w:tcPr>
            <w:tcW w:w="1671" w:type="dxa"/>
            <w:gridSpan w:val="2"/>
            <w:tcBorders>
              <w:left w:val="nil"/>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公开03表</w:t>
            </w:r>
          </w:p>
        </w:tc>
      </w:tr>
      <w:tr>
        <w:tblPrEx>
          <w:tblLayout w:type="fixed"/>
          <w:tblCellMar>
            <w:top w:w="0" w:type="dxa"/>
            <w:left w:w="108" w:type="dxa"/>
            <w:bottom w:w="0" w:type="dxa"/>
            <w:right w:w="108" w:type="dxa"/>
          </w:tblCellMar>
        </w:tblPrEx>
        <w:trPr>
          <w:gridBefore w:val="1"/>
          <w:wBefore w:w="619" w:type="dxa"/>
          <w:trHeight w:val="255" w:hRule="atLeast"/>
          <w:jc w:val="center"/>
        </w:trPr>
        <w:tc>
          <w:tcPr>
            <w:tcW w:w="6096" w:type="dxa"/>
            <w:gridSpan w:val="6"/>
            <w:tcBorders>
              <w:bottom w:val="single" w:color="auto" w:sz="4" w:space="0"/>
            </w:tcBorders>
            <w:shd w:val="clear" w:color="auto" w:fill="auto"/>
            <w:noWrap/>
            <w:vAlign w:val="bottom"/>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部门：岳阳市教育科学技术研究院</w:t>
            </w:r>
          </w:p>
        </w:tc>
        <w:tc>
          <w:tcPr>
            <w:tcW w:w="1701" w:type="dxa"/>
            <w:gridSpan w:val="2"/>
            <w:tcBorders>
              <w:left w:val="nil"/>
              <w:bottom w:val="single" w:color="auto" w:sz="4" w:space="0"/>
            </w:tcBorders>
            <w:shd w:val="clear" w:color="auto" w:fill="auto"/>
            <w:noWrap/>
            <w:vAlign w:val="bottom"/>
          </w:tcPr>
          <w:p>
            <w:pPr>
              <w:widowControl/>
              <w:jc w:val="center"/>
              <w:rPr>
                <w:rFonts w:hint="eastAsia" w:ascii="宋体" w:hAnsi="宋体" w:eastAsia="宋体" w:cs="Arial"/>
                <w:color w:val="000000"/>
                <w:kern w:val="0"/>
                <w:sz w:val="20"/>
                <w:szCs w:val="20"/>
              </w:rPr>
            </w:pPr>
          </w:p>
        </w:tc>
        <w:tc>
          <w:tcPr>
            <w:tcW w:w="1410" w:type="dxa"/>
            <w:gridSpan w:val="2"/>
            <w:tcBorders>
              <w:bottom w:val="single" w:color="auto" w:sz="4" w:space="0"/>
            </w:tcBorders>
            <w:shd w:val="clear" w:color="auto" w:fill="auto"/>
            <w:noWrap/>
            <w:vAlign w:val="bottom"/>
          </w:tcPr>
          <w:p>
            <w:pPr>
              <w:widowControl/>
              <w:jc w:val="center"/>
              <w:rPr>
                <w:rFonts w:ascii="Times New Roman" w:hAnsi="Times New Roman" w:eastAsia="Times New Roman" w:cs="Times New Roman"/>
                <w:kern w:val="0"/>
                <w:sz w:val="20"/>
                <w:szCs w:val="20"/>
              </w:rPr>
            </w:pPr>
          </w:p>
        </w:tc>
        <w:tc>
          <w:tcPr>
            <w:tcW w:w="1885" w:type="dxa"/>
            <w:gridSpan w:val="3"/>
            <w:tcBorders>
              <w:bottom w:val="single" w:color="auto" w:sz="4" w:space="0"/>
            </w:tcBorders>
            <w:shd w:val="clear" w:color="auto" w:fill="auto"/>
            <w:noWrap/>
            <w:vAlign w:val="bottom"/>
          </w:tcPr>
          <w:p>
            <w:pPr>
              <w:widowControl/>
              <w:jc w:val="center"/>
              <w:rPr>
                <w:rFonts w:ascii="Times New Roman" w:hAnsi="Times New Roman" w:eastAsia="Times New Roman" w:cs="Times New Roman"/>
                <w:kern w:val="0"/>
                <w:sz w:val="20"/>
                <w:szCs w:val="20"/>
              </w:rPr>
            </w:pPr>
          </w:p>
        </w:tc>
        <w:tc>
          <w:tcPr>
            <w:tcW w:w="1559" w:type="dxa"/>
            <w:gridSpan w:val="2"/>
            <w:tcBorders>
              <w:bottom w:val="single" w:color="auto" w:sz="4" w:space="0"/>
            </w:tcBorders>
            <w:shd w:val="clear" w:color="auto" w:fill="auto"/>
            <w:noWrap/>
            <w:vAlign w:val="bottom"/>
          </w:tcPr>
          <w:p>
            <w:pPr>
              <w:widowControl/>
              <w:jc w:val="center"/>
              <w:rPr>
                <w:rFonts w:ascii="Times New Roman" w:hAnsi="Times New Roman" w:eastAsia="Times New Roman" w:cs="Times New Roman"/>
                <w:kern w:val="0"/>
                <w:sz w:val="20"/>
                <w:szCs w:val="20"/>
              </w:rPr>
            </w:pPr>
          </w:p>
        </w:tc>
        <w:tc>
          <w:tcPr>
            <w:tcW w:w="1134" w:type="dxa"/>
            <w:gridSpan w:val="2"/>
            <w:tcBorders>
              <w:bottom w:val="single" w:color="auto" w:sz="4" w:space="0"/>
            </w:tcBorders>
            <w:shd w:val="clear" w:color="auto" w:fill="auto"/>
            <w:noWrap/>
            <w:vAlign w:val="bottom"/>
          </w:tcPr>
          <w:p>
            <w:pPr>
              <w:widowControl/>
              <w:jc w:val="center"/>
              <w:rPr>
                <w:rFonts w:ascii="Times New Roman" w:hAnsi="Times New Roman" w:eastAsia="Times New Roman" w:cs="Times New Roman"/>
                <w:kern w:val="0"/>
                <w:sz w:val="20"/>
                <w:szCs w:val="20"/>
              </w:rPr>
            </w:pPr>
          </w:p>
        </w:tc>
        <w:tc>
          <w:tcPr>
            <w:tcW w:w="1671" w:type="dxa"/>
            <w:gridSpan w:val="2"/>
            <w:tcBorders>
              <w:left w:val="nil"/>
              <w:bottom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Layout w:type="fixed"/>
          <w:tblCellMar>
            <w:top w:w="0" w:type="dxa"/>
            <w:left w:w="108" w:type="dxa"/>
            <w:bottom w:w="0" w:type="dxa"/>
            <w:right w:w="108" w:type="dxa"/>
          </w:tblCellMar>
        </w:tblPrEx>
        <w:trPr>
          <w:gridBefore w:val="1"/>
          <w:wBefore w:w="619" w:type="dxa"/>
          <w:trHeight w:val="308" w:hRule="atLeast"/>
          <w:jc w:val="center"/>
        </w:trPr>
        <w:tc>
          <w:tcPr>
            <w:tcW w:w="609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项目</w:t>
            </w:r>
          </w:p>
        </w:tc>
        <w:tc>
          <w:tcPr>
            <w:tcW w:w="170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本年支出合计</w:t>
            </w:r>
          </w:p>
        </w:tc>
        <w:tc>
          <w:tcPr>
            <w:tcW w:w="141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基本支出</w:t>
            </w:r>
          </w:p>
        </w:tc>
        <w:tc>
          <w:tcPr>
            <w:tcW w:w="188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项目支出</w:t>
            </w:r>
          </w:p>
        </w:tc>
        <w:tc>
          <w:tcPr>
            <w:tcW w:w="155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上缴上级支出</w:t>
            </w:r>
          </w:p>
        </w:tc>
        <w:tc>
          <w:tcPr>
            <w:tcW w:w="11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经营支出</w:t>
            </w:r>
          </w:p>
        </w:tc>
        <w:tc>
          <w:tcPr>
            <w:tcW w:w="167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对附属单位补助支出</w:t>
            </w:r>
          </w:p>
        </w:tc>
      </w:tr>
      <w:tr>
        <w:tblPrEx>
          <w:tblLayout w:type="fixed"/>
          <w:tblCellMar>
            <w:top w:w="0" w:type="dxa"/>
            <w:left w:w="108" w:type="dxa"/>
            <w:bottom w:w="0" w:type="dxa"/>
            <w:right w:w="108" w:type="dxa"/>
          </w:tblCellMar>
        </w:tblPrEx>
        <w:trPr>
          <w:gridBefore w:val="1"/>
          <w:wBefore w:w="619" w:type="dxa"/>
          <w:trHeight w:val="312" w:hRule="atLeast"/>
          <w:jc w:val="center"/>
        </w:trPr>
        <w:tc>
          <w:tcPr>
            <w:tcW w:w="2127" w:type="dxa"/>
            <w:gridSpan w:val="4"/>
            <w:vMerge w:val="restart"/>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396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科目名称</w:t>
            </w:r>
          </w:p>
        </w:tc>
        <w:tc>
          <w:tcPr>
            <w:tcW w:w="170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rPr>
            </w:pPr>
          </w:p>
        </w:tc>
        <w:tc>
          <w:tcPr>
            <w:tcW w:w="141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rPr>
            </w:pPr>
          </w:p>
        </w:tc>
        <w:tc>
          <w:tcPr>
            <w:tcW w:w="1885"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rPr>
            </w:pPr>
          </w:p>
        </w:tc>
        <w:tc>
          <w:tcPr>
            <w:tcW w:w="11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rPr>
            </w:pPr>
          </w:p>
        </w:tc>
        <w:tc>
          <w:tcPr>
            <w:tcW w:w="167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gridBefore w:val="1"/>
          <w:wBefore w:w="619" w:type="dxa"/>
          <w:trHeight w:val="312" w:hRule="atLeast"/>
          <w:jc w:val="center"/>
        </w:trPr>
        <w:tc>
          <w:tcPr>
            <w:tcW w:w="2127" w:type="dxa"/>
            <w:gridSpan w:val="4"/>
            <w:vMerge w:val="continue"/>
            <w:tcBorders>
              <w:top w:val="nil"/>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2"/>
              </w:rPr>
            </w:pPr>
          </w:p>
        </w:tc>
        <w:tc>
          <w:tcPr>
            <w:tcW w:w="396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rPr>
            </w:pPr>
          </w:p>
        </w:tc>
        <w:tc>
          <w:tcPr>
            <w:tcW w:w="170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rPr>
            </w:pPr>
          </w:p>
        </w:tc>
        <w:tc>
          <w:tcPr>
            <w:tcW w:w="141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rPr>
            </w:pPr>
          </w:p>
        </w:tc>
        <w:tc>
          <w:tcPr>
            <w:tcW w:w="1885"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rPr>
            </w:pPr>
          </w:p>
        </w:tc>
        <w:tc>
          <w:tcPr>
            <w:tcW w:w="11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rPr>
            </w:pPr>
          </w:p>
        </w:tc>
        <w:tc>
          <w:tcPr>
            <w:tcW w:w="167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gridBefore w:val="1"/>
          <w:wBefore w:w="619" w:type="dxa"/>
          <w:trHeight w:val="312" w:hRule="atLeast"/>
          <w:jc w:val="center"/>
        </w:trPr>
        <w:tc>
          <w:tcPr>
            <w:tcW w:w="2127" w:type="dxa"/>
            <w:gridSpan w:val="4"/>
            <w:vMerge w:val="continue"/>
            <w:tcBorders>
              <w:top w:val="nil"/>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2"/>
              </w:rPr>
            </w:pPr>
          </w:p>
        </w:tc>
        <w:tc>
          <w:tcPr>
            <w:tcW w:w="396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rPr>
            </w:pPr>
          </w:p>
        </w:tc>
        <w:tc>
          <w:tcPr>
            <w:tcW w:w="170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rPr>
            </w:pPr>
          </w:p>
        </w:tc>
        <w:tc>
          <w:tcPr>
            <w:tcW w:w="141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rPr>
            </w:pPr>
          </w:p>
        </w:tc>
        <w:tc>
          <w:tcPr>
            <w:tcW w:w="1885"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rPr>
            </w:pPr>
          </w:p>
        </w:tc>
        <w:tc>
          <w:tcPr>
            <w:tcW w:w="11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rPr>
            </w:pPr>
          </w:p>
        </w:tc>
        <w:tc>
          <w:tcPr>
            <w:tcW w:w="167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gridBefore w:val="1"/>
          <w:wBefore w:w="619" w:type="dxa"/>
          <w:trHeight w:val="308" w:hRule="atLeast"/>
          <w:jc w:val="center"/>
        </w:trPr>
        <w:tc>
          <w:tcPr>
            <w:tcW w:w="609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栏次</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w:t>
            </w:r>
          </w:p>
        </w:tc>
        <w:tc>
          <w:tcPr>
            <w:tcW w:w="1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w:t>
            </w:r>
          </w:p>
        </w:tc>
        <w:tc>
          <w:tcPr>
            <w:tcW w:w="18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w:t>
            </w:r>
          </w:p>
        </w:tc>
        <w:tc>
          <w:tcPr>
            <w:tcW w:w="16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6</w:t>
            </w:r>
          </w:p>
        </w:tc>
      </w:tr>
      <w:tr>
        <w:tblPrEx>
          <w:tblLayout w:type="fixed"/>
          <w:tblCellMar>
            <w:top w:w="0" w:type="dxa"/>
            <w:left w:w="108" w:type="dxa"/>
            <w:bottom w:w="0" w:type="dxa"/>
            <w:right w:w="108" w:type="dxa"/>
          </w:tblCellMar>
        </w:tblPrEx>
        <w:trPr>
          <w:gridBefore w:val="1"/>
          <w:wBefore w:w="619" w:type="dxa"/>
          <w:trHeight w:val="308" w:hRule="atLeast"/>
          <w:jc w:val="center"/>
        </w:trPr>
        <w:tc>
          <w:tcPr>
            <w:tcW w:w="609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合计</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b/>
                <w:bCs/>
                <w:color w:val="000000"/>
                <w:kern w:val="0"/>
                <w:sz w:val="22"/>
              </w:rPr>
            </w:pPr>
            <w:r>
              <w:rPr>
                <w:rFonts w:hint="eastAsia" w:ascii="宋体" w:hAnsi="宋体" w:eastAsia="宋体" w:cs="Arial"/>
                <w:b/>
                <w:bCs/>
                <w:color w:val="000000"/>
                <w:kern w:val="0"/>
                <w:sz w:val="22"/>
              </w:rPr>
              <w:t>1,284.97</w:t>
            </w:r>
          </w:p>
        </w:tc>
        <w:tc>
          <w:tcPr>
            <w:tcW w:w="14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b/>
                <w:bCs/>
                <w:color w:val="000000"/>
                <w:kern w:val="0"/>
                <w:sz w:val="22"/>
              </w:rPr>
            </w:pPr>
            <w:r>
              <w:rPr>
                <w:rFonts w:hint="eastAsia" w:ascii="宋体" w:hAnsi="宋体" w:eastAsia="宋体" w:cs="Arial"/>
                <w:b/>
                <w:bCs/>
                <w:color w:val="000000"/>
                <w:kern w:val="0"/>
                <w:sz w:val="22"/>
              </w:rPr>
              <w:t>926.97</w:t>
            </w:r>
          </w:p>
        </w:tc>
        <w:tc>
          <w:tcPr>
            <w:tcW w:w="188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b/>
                <w:bCs/>
                <w:color w:val="000000"/>
                <w:kern w:val="0"/>
                <w:sz w:val="22"/>
              </w:rPr>
            </w:pPr>
            <w:r>
              <w:rPr>
                <w:rFonts w:hint="eastAsia" w:ascii="宋体" w:hAnsi="宋体" w:eastAsia="宋体" w:cs="Arial"/>
                <w:b/>
                <w:bCs/>
                <w:color w:val="000000"/>
                <w:kern w:val="0"/>
                <w:sz w:val="22"/>
              </w:rPr>
              <w:t>358.00</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16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b/>
                <w:bCs/>
                <w:color w:val="000000"/>
                <w:kern w:val="0"/>
                <w:sz w:val="22"/>
              </w:rPr>
            </w:pPr>
            <w:r>
              <w:rPr>
                <w:rFonts w:hint="eastAsia" w:ascii="宋体" w:hAnsi="宋体" w:eastAsia="宋体" w:cs="Arial"/>
                <w:b/>
                <w:bCs/>
                <w:color w:val="000000"/>
                <w:kern w:val="0"/>
                <w:sz w:val="22"/>
              </w:rPr>
              <w:t>0.00</w:t>
            </w:r>
          </w:p>
        </w:tc>
      </w:tr>
      <w:tr>
        <w:tblPrEx>
          <w:tblLayout w:type="fixed"/>
          <w:tblCellMar>
            <w:top w:w="0" w:type="dxa"/>
            <w:left w:w="108" w:type="dxa"/>
            <w:bottom w:w="0" w:type="dxa"/>
            <w:right w:w="108" w:type="dxa"/>
          </w:tblCellMar>
        </w:tblPrEx>
        <w:trPr>
          <w:gridBefore w:val="1"/>
          <w:wBefore w:w="619" w:type="dxa"/>
          <w:trHeight w:val="308" w:hRule="atLeast"/>
          <w:jc w:val="center"/>
        </w:trPr>
        <w:tc>
          <w:tcPr>
            <w:tcW w:w="2127" w:type="dxa"/>
            <w:gridSpan w:val="4"/>
            <w:tcBorders>
              <w:top w:val="nil"/>
              <w:left w:val="single" w:color="000000"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205</w:t>
            </w:r>
          </w:p>
        </w:tc>
        <w:tc>
          <w:tcPr>
            <w:tcW w:w="396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教育支出</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1,138.64</w:t>
            </w:r>
          </w:p>
        </w:tc>
        <w:tc>
          <w:tcPr>
            <w:tcW w:w="14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780.64</w:t>
            </w:r>
          </w:p>
        </w:tc>
        <w:tc>
          <w:tcPr>
            <w:tcW w:w="188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358.00</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gridBefore w:val="1"/>
          <w:wBefore w:w="619" w:type="dxa"/>
          <w:trHeight w:val="308" w:hRule="atLeast"/>
          <w:jc w:val="center"/>
        </w:trPr>
        <w:tc>
          <w:tcPr>
            <w:tcW w:w="2127" w:type="dxa"/>
            <w:gridSpan w:val="4"/>
            <w:tcBorders>
              <w:top w:val="nil"/>
              <w:left w:val="single" w:color="000000"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20501</w:t>
            </w:r>
          </w:p>
        </w:tc>
        <w:tc>
          <w:tcPr>
            <w:tcW w:w="396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教育管理事务</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249.31</w:t>
            </w:r>
          </w:p>
        </w:tc>
        <w:tc>
          <w:tcPr>
            <w:tcW w:w="14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249.31</w:t>
            </w:r>
          </w:p>
        </w:tc>
        <w:tc>
          <w:tcPr>
            <w:tcW w:w="188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gridBefore w:val="1"/>
          <w:wBefore w:w="619" w:type="dxa"/>
          <w:trHeight w:val="308" w:hRule="atLeast"/>
          <w:jc w:val="center"/>
        </w:trPr>
        <w:tc>
          <w:tcPr>
            <w:tcW w:w="2127" w:type="dxa"/>
            <w:gridSpan w:val="4"/>
            <w:tcBorders>
              <w:top w:val="nil"/>
              <w:left w:val="single" w:color="000000"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2050199</w:t>
            </w:r>
          </w:p>
        </w:tc>
        <w:tc>
          <w:tcPr>
            <w:tcW w:w="396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其他教育管理事务支出</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249.31</w:t>
            </w:r>
          </w:p>
        </w:tc>
        <w:tc>
          <w:tcPr>
            <w:tcW w:w="14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249.31</w:t>
            </w:r>
          </w:p>
        </w:tc>
        <w:tc>
          <w:tcPr>
            <w:tcW w:w="188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gridBefore w:val="1"/>
          <w:wBefore w:w="619" w:type="dxa"/>
          <w:trHeight w:val="308" w:hRule="atLeast"/>
          <w:jc w:val="center"/>
        </w:trPr>
        <w:tc>
          <w:tcPr>
            <w:tcW w:w="2127" w:type="dxa"/>
            <w:gridSpan w:val="4"/>
            <w:tcBorders>
              <w:top w:val="nil"/>
              <w:left w:val="single" w:color="000000"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20502</w:t>
            </w:r>
          </w:p>
        </w:tc>
        <w:tc>
          <w:tcPr>
            <w:tcW w:w="396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普通教育</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228.00</w:t>
            </w:r>
          </w:p>
        </w:tc>
        <w:tc>
          <w:tcPr>
            <w:tcW w:w="14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228.00</w:t>
            </w:r>
          </w:p>
        </w:tc>
        <w:tc>
          <w:tcPr>
            <w:tcW w:w="188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gridBefore w:val="1"/>
          <w:wBefore w:w="619" w:type="dxa"/>
          <w:trHeight w:val="308" w:hRule="atLeast"/>
          <w:jc w:val="center"/>
        </w:trPr>
        <w:tc>
          <w:tcPr>
            <w:tcW w:w="2127" w:type="dxa"/>
            <w:gridSpan w:val="4"/>
            <w:tcBorders>
              <w:top w:val="nil"/>
              <w:left w:val="single" w:color="000000"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2050299</w:t>
            </w:r>
          </w:p>
        </w:tc>
        <w:tc>
          <w:tcPr>
            <w:tcW w:w="396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其他普通教育支出</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228.00</w:t>
            </w:r>
          </w:p>
        </w:tc>
        <w:tc>
          <w:tcPr>
            <w:tcW w:w="14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228.00</w:t>
            </w:r>
          </w:p>
        </w:tc>
        <w:tc>
          <w:tcPr>
            <w:tcW w:w="188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gridBefore w:val="1"/>
          <w:wBefore w:w="619" w:type="dxa"/>
          <w:trHeight w:val="308" w:hRule="atLeast"/>
          <w:jc w:val="center"/>
        </w:trPr>
        <w:tc>
          <w:tcPr>
            <w:tcW w:w="2127" w:type="dxa"/>
            <w:gridSpan w:val="4"/>
            <w:tcBorders>
              <w:top w:val="nil"/>
              <w:left w:val="single" w:color="000000"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20509</w:t>
            </w:r>
          </w:p>
        </w:tc>
        <w:tc>
          <w:tcPr>
            <w:tcW w:w="396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教育费附加安排的支出</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661.33</w:t>
            </w:r>
          </w:p>
        </w:tc>
        <w:tc>
          <w:tcPr>
            <w:tcW w:w="14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303.33</w:t>
            </w:r>
          </w:p>
        </w:tc>
        <w:tc>
          <w:tcPr>
            <w:tcW w:w="188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358.00</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gridBefore w:val="1"/>
          <w:wBefore w:w="619" w:type="dxa"/>
          <w:trHeight w:val="308" w:hRule="atLeast"/>
          <w:jc w:val="center"/>
        </w:trPr>
        <w:tc>
          <w:tcPr>
            <w:tcW w:w="2127" w:type="dxa"/>
            <w:gridSpan w:val="4"/>
            <w:tcBorders>
              <w:top w:val="nil"/>
              <w:left w:val="single" w:color="000000"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2050999</w:t>
            </w:r>
          </w:p>
        </w:tc>
        <w:tc>
          <w:tcPr>
            <w:tcW w:w="396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其他教育费附加安排的支出</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661.33</w:t>
            </w:r>
          </w:p>
        </w:tc>
        <w:tc>
          <w:tcPr>
            <w:tcW w:w="14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303.33</w:t>
            </w:r>
          </w:p>
        </w:tc>
        <w:tc>
          <w:tcPr>
            <w:tcW w:w="188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358.00</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gridBefore w:val="1"/>
          <w:wBefore w:w="619" w:type="dxa"/>
          <w:trHeight w:val="308" w:hRule="atLeast"/>
          <w:jc w:val="center"/>
        </w:trPr>
        <w:tc>
          <w:tcPr>
            <w:tcW w:w="2127" w:type="dxa"/>
            <w:gridSpan w:val="4"/>
            <w:tcBorders>
              <w:top w:val="nil"/>
              <w:left w:val="single" w:color="000000"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208</w:t>
            </w:r>
          </w:p>
        </w:tc>
        <w:tc>
          <w:tcPr>
            <w:tcW w:w="396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75.49</w:t>
            </w:r>
          </w:p>
        </w:tc>
        <w:tc>
          <w:tcPr>
            <w:tcW w:w="14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75.49</w:t>
            </w:r>
          </w:p>
        </w:tc>
        <w:tc>
          <w:tcPr>
            <w:tcW w:w="188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gridBefore w:val="1"/>
          <w:wBefore w:w="619" w:type="dxa"/>
          <w:trHeight w:val="308" w:hRule="atLeast"/>
          <w:jc w:val="center"/>
        </w:trPr>
        <w:tc>
          <w:tcPr>
            <w:tcW w:w="2127" w:type="dxa"/>
            <w:gridSpan w:val="4"/>
            <w:tcBorders>
              <w:top w:val="nil"/>
              <w:left w:val="single" w:color="000000"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20805</w:t>
            </w:r>
          </w:p>
        </w:tc>
        <w:tc>
          <w:tcPr>
            <w:tcW w:w="396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行政事业单位养老支出</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58.37</w:t>
            </w:r>
          </w:p>
        </w:tc>
        <w:tc>
          <w:tcPr>
            <w:tcW w:w="14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58.37</w:t>
            </w:r>
          </w:p>
        </w:tc>
        <w:tc>
          <w:tcPr>
            <w:tcW w:w="188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gridBefore w:val="1"/>
          <w:wBefore w:w="619" w:type="dxa"/>
          <w:trHeight w:val="308" w:hRule="atLeast"/>
          <w:jc w:val="center"/>
        </w:trPr>
        <w:tc>
          <w:tcPr>
            <w:tcW w:w="2127" w:type="dxa"/>
            <w:gridSpan w:val="4"/>
            <w:tcBorders>
              <w:top w:val="nil"/>
              <w:left w:val="single" w:color="000000"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2080505</w:t>
            </w:r>
          </w:p>
        </w:tc>
        <w:tc>
          <w:tcPr>
            <w:tcW w:w="396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机关事业单位基本养老保险缴费支出</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58.37</w:t>
            </w:r>
          </w:p>
        </w:tc>
        <w:tc>
          <w:tcPr>
            <w:tcW w:w="14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58.37</w:t>
            </w:r>
          </w:p>
        </w:tc>
        <w:tc>
          <w:tcPr>
            <w:tcW w:w="188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gridBefore w:val="1"/>
          <w:wBefore w:w="619" w:type="dxa"/>
          <w:trHeight w:val="308" w:hRule="atLeast"/>
          <w:jc w:val="center"/>
        </w:trPr>
        <w:tc>
          <w:tcPr>
            <w:tcW w:w="2127" w:type="dxa"/>
            <w:gridSpan w:val="4"/>
            <w:tcBorders>
              <w:top w:val="nil"/>
              <w:left w:val="single" w:color="000000"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20808</w:t>
            </w:r>
          </w:p>
        </w:tc>
        <w:tc>
          <w:tcPr>
            <w:tcW w:w="396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抚恤</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10.79</w:t>
            </w:r>
          </w:p>
        </w:tc>
        <w:tc>
          <w:tcPr>
            <w:tcW w:w="14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10.79</w:t>
            </w:r>
          </w:p>
        </w:tc>
        <w:tc>
          <w:tcPr>
            <w:tcW w:w="188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gridBefore w:val="1"/>
          <w:wBefore w:w="619" w:type="dxa"/>
          <w:trHeight w:val="308" w:hRule="atLeast"/>
          <w:jc w:val="center"/>
        </w:trPr>
        <w:tc>
          <w:tcPr>
            <w:tcW w:w="2127"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2080899</w:t>
            </w:r>
          </w:p>
        </w:tc>
        <w:tc>
          <w:tcPr>
            <w:tcW w:w="3969"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其他优抚支出</w:t>
            </w:r>
          </w:p>
        </w:tc>
        <w:tc>
          <w:tcPr>
            <w:tcW w:w="1701"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10.79</w:t>
            </w:r>
          </w:p>
        </w:tc>
        <w:tc>
          <w:tcPr>
            <w:tcW w:w="141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10.79</w:t>
            </w:r>
          </w:p>
        </w:tc>
        <w:tc>
          <w:tcPr>
            <w:tcW w:w="1885" w:type="dxa"/>
            <w:gridSpan w:val="3"/>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559"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71"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gridBefore w:val="1"/>
          <w:wBefore w:w="619" w:type="dxa"/>
          <w:trHeight w:val="308" w:hRule="atLeast"/>
          <w:jc w:val="center"/>
        </w:trPr>
        <w:tc>
          <w:tcPr>
            <w:tcW w:w="2127"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20811</w:t>
            </w:r>
          </w:p>
        </w:tc>
        <w:tc>
          <w:tcPr>
            <w:tcW w:w="396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残疾人事业</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3.38</w:t>
            </w:r>
          </w:p>
        </w:tc>
        <w:tc>
          <w:tcPr>
            <w:tcW w:w="141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3.38</w:t>
            </w:r>
          </w:p>
        </w:tc>
        <w:tc>
          <w:tcPr>
            <w:tcW w:w="1885"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7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gridBefore w:val="1"/>
          <w:wBefore w:w="619" w:type="dxa"/>
          <w:trHeight w:val="308" w:hRule="atLeast"/>
          <w:jc w:val="center"/>
        </w:trPr>
        <w:tc>
          <w:tcPr>
            <w:tcW w:w="2127"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2081199</w:t>
            </w:r>
          </w:p>
        </w:tc>
        <w:tc>
          <w:tcPr>
            <w:tcW w:w="396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其他残疾人事业支出</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3.38</w:t>
            </w:r>
          </w:p>
        </w:tc>
        <w:tc>
          <w:tcPr>
            <w:tcW w:w="141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3.38</w:t>
            </w:r>
          </w:p>
        </w:tc>
        <w:tc>
          <w:tcPr>
            <w:tcW w:w="1885"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7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gridBefore w:val="1"/>
          <w:wBefore w:w="619" w:type="dxa"/>
          <w:trHeight w:val="308" w:hRule="atLeast"/>
          <w:jc w:val="center"/>
        </w:trPr>
        <w:tc>
          <w:tcPr>
            <w:tcW w:w="2127"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20827</w:t>
            </w:r>
          </w:p>
        </w:tc>
        <w:tc>
          <w:tcPr>
            <w:tcW w:w="396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财政对其他社会保险基金的补助</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2.95</w:t>
            </w:r>
          </w:p>
        </w:tc>
        <w:tc>
          <w:tcPr>
            <w:tcW w:w="141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2.95</w:t>
            </w:r>
          </w:p>
        </w:tc>
        <w:tc>
          <w:tcPr>
            <w:tcW w:w="1885"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7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gridBefore w:val="1"/>
          <w:wBefore w:w="619" w:type="dxa"/>
          <w:trHeight w:val="308" w:hRule="atLeast"/>
          <w:jc w:val="center"/>
        </w:trPr>
        <w:tc>
          <w:tcPr>
            <w:tcW w:w="2127"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2082702</w:t>
            </w:r>
          </w:p>
        </w:tc>
        <w:tc>
          <w:tcPr>
            <w:tcW w:w="396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财政对工伤保险基金的补助</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2.95</w:t>
            </w:r>
          </w:p>
        </w:tc>
        <w:tc>
          <w:tcPr>
            <w:tcW w:w="141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2.95</w:t>
            </w:r>
          </w:p>
        </w:tc>
        <w:tc>
          <w:tcPr>
            <w:tcW w:w="1885"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7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gridBefore w:val="1"/>
          <w:wBefore w:w="619" w:type="dxa"/>
          <w:trHeight w:val="308" w:hRule="atLeast"/>
          <w:jc w:val="center"/>
        </w:trPr>
        <w:tc>
          <w:tcPr>
            <w:tcW w:w="2127"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210</w:t>
            </w:r>
          </w:p>
        </w:tc>
        <w:tc>
          <w:tcPr>
            <w:tcW w:w="396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27.06</w:t>
            </w:r>
          </w:p>
        </w:tc>
        <w:tc>
          <w:tcPr>
            <w:tcW w:w="141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27.06</w:t>
            </w:r>
          </w:p>
        </w:tc>
        <w:tc>
          <w:tcPr>
            <w:tcW w:w="1885"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7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gridBefore w:val="1"/>
          <w:wBefore w:w="619" w:type="dxa"/>
          <w:trHeight w:val="308" w:hRule="atLeast"/>
          <w:jc w:val="center"/>
        </w:trPr>
        <w:tc>
          <w:tcPr>
            <w:tcW w:w="2127"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21011</w:t>
            </w:r>
          </w:p>
        </w:tc>
        <w:tc>
          <w:tcPr>
            <w:tcW w:w="396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27.06</w:t>
            </w:r>
          </w:p>
        </w:tc>
        <w:tc>
          <w:tcPr>
            <w:tcW w:w="141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27.06</w:t>
            </w:r>
          </w:p>
        </w:tc>
        <w:tc>
          <w:tcPr>
            <w:tcW w:w="1885"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7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gridBefore w:val="1"/>
          <w:wBefore w:w="619" w:type="dxa"/>
          <w:trHeight w:val="308" w:hRule="atLeast"/>
          <w:jc w:val="center"/>
        </w:trPr>
        <w:tc>
          <w:tcPr>
            <w:tcW w:w="2127"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2101102</w:t>
            </w:r>
          </w:p>
        </w:tc>
        <w:tc>
          <w:tcPr>
            <w:tcW w:w="396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事业单位医疗</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27.06</w:t>
            </w:r>
          </w:p>
        </w:tc>
        <w:tc>
          <w:tcPr>
            <w:tcW w:w="141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27.06</w:t>
            </w:r>
          </w:p>
        </w:tc>
        <w:tc>
          <w:tcPr>
            <w:tcW w:w="1885"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7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gridBefore w:val="1"/>
          <w:wBefore w:w="619" w:type="dxa"/>
          <w:trHeight w:val="308" w:hRule="atLeast"/>
          <w:jc w:val="center"/>
        </w:trPr>
        <w:tc>
          <w:tcPr>
            <w:tcW w:w="2127"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221</w:t>
            </w:r>
          </w:p>
        </w:tc>
        <w:tc>
          <w:tcPr>
            <w:tcW w:w="396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43.78</w:t>
            </w:r>
          </w:p>
        </w:tc>
        <w:tc>
          <w:tcPr>
            <w:tcW w:w="141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43.78</w:t>
            </w:r>
          </w:p>
        </w:tc>
        <w:tc>
          <w:tcPr>
            <w:tcW w:w="1885"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7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gridBefore w:val="1"/>
          <w:wBefore w:w="619" w:type="dxa"/>
          <w:trHeight w:val="308" w:hRule="atLeast"/>
          <w:jc w:val="center"/>
        </w:trPr>
        <w:tc>
          <w:tcPr>
            <w:tcW w:w="2127"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22102</w:t>
            </w:r>
          </w:p>
        </w:tc>
        <w:tc>
          <w:tcPr>
            <w:tcW w:w="396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43.78</w:t>
            </w:r>
          </w:p>
        </w:tc>
        <w:tc>
          <w:tcPr>
            <w:tcW w:w="141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43.78</w:t>
            </w:r>
          </w:p>
        </w:tc>
        <w:tc>
          <w:tcPr>
            <w:tcW w:w="1885"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7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gridBefore w:val="1"/>
          <w:wBefore w:w="619" w:type="dxa"/>
          <w:trHeight w:val="308" w:hRule="atLeast"/>
          <w:jc w:val="center"/>
        </w:trPr>
        <w:tc>
          <w:tcPr>
            <w:tcW w:w="2127"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2210201</w:t>
            </w:r>
          </w:p>
        </w:tc>
        <w:tc>
          <w:tcPr>
            <w:tcW w:w="396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住房公积金</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43.78</w:t>
            </w:r>
          </w:p>
        </w:tc>
        <w:tc>
          <w:tcPr>
            <w:tcW w:w="141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43.78</w:t>
            </w:r>
          </w:p>
        </w:tc>
        <w:tc>
          <w:tcPr>
            <w:tcW w:w="1885"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67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bl>
    <w:p>
      <w:pPr>
        <w:widowControl/>
        <w:jc w:val="center"/>
        <w:rPr>
          <w:rFonts w:ascii="Times New Roman" w:hAnsi="Times New Roman" w:eastAsia="方正小标宋_GBK" w:cs="Times New Roman"/>
          <w:kern w:val="0"/>
          <w:sz w:val="36"/>
          <w:szCs w:val="36"/>
        </w:rPr>
      </w:pPr>
      <w:bookmarkStart w:id="0" w:name="RANGE!A1:F16"/>
    </w:p>
    <w:tbl>
      <w:tblPr>
        <w:tblStyle w:val="6"/>
        <w:tblW w:w="138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1"/>
        <w:gridCol w:w="539"/>
        <w:gridCol w:w="1099"/>
        <w:gridCol w:w="3407"/>
        <w:gridCol w:w="539"/>
        <w:gridCol w:w="1247"/>
        <w:gridCol w:w="1248"/>
        <w:gridCol w:w="1248"/>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2691" w:type="dxa"/>
            <w:tcBorders>
              <w:top w:val="nil"/>
              <w:left w:val="nil"/>
              <w:bottom w:val="nil"/>
              <w:right w:val="nil"/>
            </w:tcBorders>
            <w:shd w:val="clear" w:color="auto" w:fill="auto"/>
            <w:noWrap/>
            <w:vAlign w:val="bottom"/>
          </w:tcPr>
          <w:p>
            <w:pPr>
              <w:widowControl/>
              <w:jc w:val="center"/>
              <w:rPr>
                <w:rFonts w:ascii="Times New Roman" w:hAnsi="Times New Roman" w:eastAsia="Times New Roman" w:cs="Times New Roman"/>
                <w:kern w:val="0"/>
                <w:sz w:val="20"/>
                <w:szCs w:val="20"/>
              </w:rPr>
            </w:pPr>
          </w:p>
        </w:tc>
        <w:tc>
          <w:tcPr>
            <w:tcW w:w="11155" w:type="dxa"/>
            <w:gridSpan w:val="8"/>
            <w:tcBorders>
              <w:top w:val="nil"/>
              <w:left w:val="nil"/>
              <w:bottom w:val="nil"/>
              <w:right w:val="nil"/>
            </w:tcBorders>
            <w:shd w:val="clear" w:color="auto" w:fill="auto"/>
            <w:noWrap/>
            <w:vAlign w:val="bottom"/>
          </w:tcPr>
          <w:p>
            <w:pPr>
              <w:widowControl/>
              <w:jc w:val="center"/>
              <w:rPr>
                <w:rFonts w:hint="eastAsia" w:ascii="方正小标宋简体" w:hAnsi="宋体" w:eastAsia="方正小标宋简体" w:cs="Arial"/>
                <w:color w:val="000000"/>
                <w:kern w:val="0"/>
                <w:sz w:val="20"/>
                <w:szCs w:val="20"/>
              </w:rPr>
            </w:pPr>
            <w:r>
              <w:rPr>
                <w:rFonts w:hint="eastAsia" w:ascii="方正小标宋简体" w:hAnsi="宋体" w:eastAsia="方正小标宋简体" w:cs="Arial"/>
                <w:color w:val="000000"/>
                <w:kern w:val="0"/>
                <w:sz w:val="36"/>
                <w:szCs w:val="30"/>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2691" w:type="dxa"/>
            <w:tcBorders>
              <w:top w:val="nil"/>
              <w:left w:val="nil"/>
              <w:bottom w:val="nil"/>
              <w:right w:val="nil"/>
            </w:tcBorders>
            <w:shd w:val="clear" w:color="auto" w:fill="auto"/>
            <w:noWrap/>
            <w:vAlign w:val="bottom"/>
          </w:tcPr>
          <w:p>
            <w:pPr>
              <w:widowControl/>
              <w:jc w:val="center"/>
              <w:rPr>
                <w:rFonts w:hint="eastAsia" w:ascii="Times New Roman" w:hAnsi="Times New Roman" w:cs="Times New Roman"/>
                <w:kern w:val="0"/>
                <w:sz w:val="20"/>
                <w:szCs w:val="20"/>
              </w:rPr>
            </w:pPr>
          </w:p>
        </w:tc>
        <w:tc>
          <w:tcPr>
            <w:tcW w:w="8079" w:type="dxa"/>
            <w:gridSpan w:val="6"/>
            <w:tcBorders>
              <w:top w:val="nil"/>
              <w:left w:val="nil"/>
              <w:bottom w:val="nil"/>
              <w:right w:val="nil"/>
            </w:tcBorders>
            <w:shd w:val="clear" w:color="auto" w:fill="auto"/>
            <w:noWrap/>
            <w:vAlign w:val="bottom"/>
          </w:tcPr>
          <w:p>
            <w:pPr>
              <w:widowControl/>
              <w:jc w:val="center"/>
              <w:rPr>
                <w:rFonts w:ascii="Times New Roman" w:hAnsi="Times New Roman" w:eastAsia="Times New Roman" w:cs="Times New Roman"/>
                <w:kern w:val="0"/>
                <w:sz w:val="20"/>
                <w:szCs w:val="20"/>
              </w:rPr>
            </w:pPr>
          </w:p>
        </w:tc>
        <w:tc>
          <w:tcPr>
            <w:tcW w:w="1248" w:type="dxa"/>
            <w:tcBorders>
              <w:top w:val="nil"/>
              <w:left w:val="nil"/>
              <w:bottom w:val="nil"/>
              <w:right w:val="nil"/>
            </w:tcBorders>
            <w:shd w:val="clear" w:color="auto" w:fill="auto"/>
            <w:noWrap/>
            <w:vAlign w:val="bottom"/>
          </w:tcPr>
          <w:p>
            <w:pPr>
              <w:widowControl/>
              <w:jc w:val="center"/>
              <w:rPr>
                <w:rFonts w:ascii="Times New Roman" w:hAnsi="Times New Roman" w:eastAsia="Times New Roman" w:cs="Times New Roman"/>
                <w:kern w:val="0"/>
                <w:sz w:val="20"/>
                <w:szCs w:val="20"/>
              </w:rPr>
            </w:pPr>
          </w:p>
        </w:tc>
        <w:tc>
          <w:tcPr>
            <w:tcW w:w="1828" w:type="dxa"/>
            <w:tcBorders>
              <w:top w:val="nil"/>
              <w:left w:val="nil"/>
              <w:bottom w:val="nil"/>
              <w:right w:val="nil"/>
            </w:tcBorders>
            <w:shd w:val="clear" w:color="auto" w:fill="auto"/>
            <w:noWrap/>
            <w:vAlign w:val="bottom"/>
          </w:tcPr>
          <w:p>
            <w:pPr>
              <w:widowControl/>
              <w:ind w:right="200"/>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公开04表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4329" w:type="dxa"/>
            <w:gridSpan w:val="3"/>
            <w:tcBorders>
              <w:top w:val="nil"/>
              <w:left w:val="nil"/>
              <w:bottom w:val="single" w:color="auto" w:sz="4" w:space="0"/>
              <w:right w:val="nil"/>
            </w:tcBorders>
            <w:shd w:val="clear" w:color="auto" w:fill="auto"/>
            <w:noWrap/>
            <w:vAlign w:val="bottom"/>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部门：岳阳市教育科学技术研究院</w:t>
            </w:r>
          </w:p>
        </w:tc>
        <w:tc>
          <w:tcPr>
            <w:tcW w:w="3407" w:type="dxa"/>
            <w:tcBorders>
              <w:top w:val="nil"/>
              <w:left w:val="nil"/>
              <w:bottom w:val="single" w:color="auto" w:sz="4" w:space="0"/>
              <w:right w:val="nil"/>
            </w:tcBorders>
            <w:shd w:val="clear" w:color="auto" w:fill="auto"/>
            <w:noWrap/>
            <w:vAlign w:val="bottom"/>
          </w:tcPr>
          <w:p>
            <w:pPr>
              <w:widowControl/>
              <w:jc w:val="center"/>
              <w:rPr>
                <w:rFonts w:hint="eastAsia" w:ascii="宋体" w:hAnsi="宋体" w:eastAsia="宋体" w:cs="Arial"/>
                <w:color w:val="000000"/>
                <w:kern w:val="0"/>
                <w:sz w:val="20"/>
                <w:szCs w:val="20"/>
              </w:rPr>
            </w:pPr>
          </w:p>
        </w:tc>
        <w:tc>
          <w:tcPr>
            <w:tcW w:w="539" w:type="dxa"/>
            <w:tcBorders>
              <w:top w:val="nil"/>
              <w:left w:val="nil"/>
              <w:bottom w:val="single" w:color="auto" w:sz="4" w:space="0"/>
              <w:right w:val="nil"/>
            </w:tcBorders>
            <w:shd w:val="clear" w:color="auto" w:fill="auto"/>
            <w:noWrap/>
            <w:vAlign w:val="bottom"/>
          </w:tcPr>
          <w:p>
            <w:pPr>
              <w:widowControl/>
              <w:jc w:val="center"/>
              <w:rPr>
                <w:rFonts w:ascii="Times New Roman" w:hAnsi="Times New Roman" w:eastAsia="Times New Roman" w:cs="Times New Roman"/>
                <w:kern w:val="0"/>
                <w:sz w:val="20"/>
                <w:szCs w:val="20"/>
              </w:rPr>
            </w:pPr>
          </w:p>
        </w:tc>
        <w:tc>
          <w:tcPr>
            <w:tcW w:w="1247" w:type="dxa"/>
            <w:tcBorders>
              <w:top w:val="nil"/>
              <w:left w:val="nil"/>
              <w:bottom w:val="single" w:color="auto" w:sz="4" w:space="0"/>
              <w:right w:val="nil"/>
            </w:tcBorders>
            <w:shd w:val="clear" w:color="auto" w:fill="auto"/>
            <w:noWrap/>
            <w:vAlign w:val="bottom"/>
          </w:tcPr>
          <w:p>
            <w:pPr>
              <w:widowControl/>
              <w:jc w:val="center"/>
              <w:rPr>
                <w:rFonts w:ascii="Times New Roman" w:hAnsi="Times New Roman" w:eastAsia="Times New Roman" w:cs="Times New Roman"/>
                <w:kern w:val="0"/>
                <w:sz w:val="20"/>
                <w:szCs w:val="20"/>
              </w:rPr>
            </w:pPr>
          </w:p>
        </w:tc>
        <w:tc>
          <w:tcPr>
            <w:tcW w:w="1248" w:type="dxa"/>
            <w:tcBorders>
              <w:top w:val="nil"/>
              <w:left w:val="nil"/>
              <w:bottom w:val="single" w:color="auto" w:sz="4" w:space="0"/>
              <w:right w:val="nil"/>
            </w:tcBorders>
            <w:shd w:val="clear" w:color="auto" w:fill="auto"/>
            <w:noWrap/>
            <w:vAlign w:val="bottom"/>
          </w:tcPr>
          <w:p>
            <w:pPr>
              <w:widowControl/>
              <w:jc w:val="center"/>
              <w:rPr>
                <w:rFonts w:ascii="Times New Roman" w:hAnsi="Times New Roman" w:eastAsia="Times New Roman" w:cs="Times New Roman"/>
                <w:kern w:val="0"/>
                <w:sz w:val="20"/>
                <w:szCs w:val="20"/>
              </w:rPr>
            </w:pPr>
          </w:p>
        </w:tc>
        <w:tc>
          <w:tcPr>
            <w:tcW w:w="1248" w:type="dxa"/>
            <w:tcBorders>
              <w:top w:val="nil"/>
              <w:left w:val="nil"/>
              <w:bottom w:val="single" w:color="auto" w:sz="4" w:space="0"/>
              <w:right w:val="nil"/>
            </w:tcBorders>
            <w:shd w:val="clear" w:color="auto" w:fill="auto"/>
            <w:noWrap/>
            <w:vAlign w:val="bottom"/>
          </w:tcPr>
          <w:p>
            <w:pPr>
              <w:widowControl/>
              <w:jc w:val="center"/>
              <w:rPr>
                <w:rFonts w:ascii="Times New Roman" w:hAnsi="Times New Roman" w:eastAsia="Times New Roman" w:cs="Times New Roman"/>
                <w:kern w:val="0"/>
                <w:sz w:val="20"/>
                <w:szCs w:val="20"/>
              </w:rPr>
            </w:pPr>
          </w:p>
        </w:tc>
        <w:tc>
          <w:tcPr>
            <w:tcW w:w="1828" w:type="dxa"/>
            <w:tcBorders>
              <w:top w:val="nil"/>
              <w:left w:val="nil"/>
              <w:bottom w:val="single" w:color="auto" w:sz="4" w:space="0"/>
              <w:right w:val="nil"/>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4329" w:type="dxa"/>
            <w:gridSpan w:val="3"/>
            <w:tcBorders>
              <w:top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收     入</w:t>
            </w:r>
          </w:p>
        </w:tc>
        <w:tc>
          <w:tcPr>
            <w:tcW w:w="9517" w:type="dxa"/>
            <w:gridSpan w:val="6"/>
            <w:tcBorders>
              <w:top w:val="single" w:color="auto"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2691" w:type="dxa"/>
            <w:vMerge w:val="restart"/>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项目</w:t>
            </w:r>
          </w:p>
        </w:tc>
        <w:tc>
          <w:tcPr>
            <w:tcW w:w="539" w:type="dxa"/>
            <w:vMerge w:val="restart"/>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行次</w:t>
            </w:r>
          </w:p>
        </w:tc>
        <w:tc>
          <w:tcPr>
            <w:tcW w:w="1099" w:type="dxa"/>
            <w:vMerge w:val="restart"/>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金额</w:t>
            </w:r>
          </w:p>
        </w:tc>
        <w:tc>
          <w:tcPr>
            <w:tcW w:w="3407" w:type="dxa"/>
            <w:vMerge w:val="restart"/>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项目</w:t>
            </w:r>
          </w:p>
        </w:tc>
        <w:tc>
          <w:tcPr>
            <w:tcW w:w="539" w:type="dxa"/>
            <w:vMerge w:val="restart"/>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行次</w:t>
            </w:r>
          </w:p>
        </w:tc>
        <w:tc>
          <w:tcPr>
            <w:tcW w:w="1247" w:type="dxa"/>
            <w:vMerge w:val="restart"/>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合计</w:t>
            </w:r>
          </w:p>
        </w:tc>
        <w:tc>
          <w:tcPr>
            <w:tcW w:w="1248" w:type="dxa"/>
            <w:vMerge w:val="restart"/>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一般公共预算财政拨款</w:t>
            </w:r>
          </w:p>
        </w:tc>
        <w:tc>
          <w:tcPr>
            <w:tcW w:w="1248" w:type="dxa"/>
            <w:vMerge w:val="restart"/>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政府性基金预算财政拨款</w:t>
            </w:r>
          </w:p>
        </w:tc>
        <w:tc>
          <w:tcPr>
            <w:tcW w:w="1828" w:type="dxa"/>
            <w:vMerge w:val="restart"/>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国有资本经营预算财政拨款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2691" w:type="dxa"/>
            <w:vMerge w:val="continue"/>
            <w:shd w:val="clear" w:color="auto" w:fill="auto"/>
            <w:vAlign w:val="center"/>
          </w:tcPr>
          <w:p>
            <w:pPr>
              <w:widowControl/>
              <w:jc w:val="center"/>
              <w:rPr>
                <w:rFonts w:ascii="宋体" w:hAnsi="宋体" w:eastAsia="宋体" w:cs="Arial"/>
                <w:color w:val="000000"/>
                <w:kern w:val="0"/>
                <w:sz w:val="22"/>
              </w:rPr>
            </w:pPr>
          </w:p>
        </w:tc>
        <w:tc>
          <w:tcPr>
            <w:tcW w:w="539" w:type="dxa"/>
            <w:vMerge w:val="continue"/>
            <w:shd w:val="clear" w:color="auto" w:fill="auto"/>
            <w:vAlign w:val="center"/>
          </w:tcPr>
          <w:p>
            <w:pPr>
              <w:widowControl/>
              <w:jc w:val="center"/>
              <w:rPr>
                <w:rFonts w:ascii="宋体" w:hAnsi="宋体" w:eastAsia="宋体" w:cs="Arial"/>
                <w:color w:val="000000"/>
                <w:kern w:val="0"/>
                <w:sz w:val="22"/>
              </w:rPr>
            </w:pPr>
          </w:p>
        </w:tc>
        <w:tc>
          <w:tcPr>
            <w:tcW w:w="1099" w:type="dxa"/>
            <w:vMerge w:val="continue"/>
            <w:shd w:val="clear" w:color="auto" w:fill="auto"/>
            <w:vAlign w:val="center"/>
          </w:tcPr>
          <w:p>
            <w:pPr>
              <w:widowControl/>
              <w:jc w:val="center"/>
              <w:rPr>
                <w:rFonts w:ascii="宋体" w:hAnsi="宋体" w:eastAsia="宋体" w:cs="Arial"/>
                <w:color w:val="000000"/>
                <w:kern w:val="0"/>
                <w:sz w:val="22"/>
              </w:rPr>
            </w:pPr>
          </w:p>
        </w:tc>
        <w:tc>
          <w:tcPr>
            <w:tcW w:w="3407" w:type="dxa"/>
            <w:vMerge w:val="continue"/>
            <w:shd w:val="clear" w:color="auto" w:fill="auto"/>
            <w:vAlign w:val="center"/>
          </w:tcPr>
          <w:p>
            <w:pPr>
              <w:widowControl/>
              <w:jc w:val="center"/>
              <w:rPr>
                <w:rFonts w:ascii="宋体" w:hAnsi="宋体" w:eastAsia="宋体" w:cs="Arial"/>
                <w:color w:val="000000"/>
                <w:kern w:val="0"/>
                <w:sz w:val="22"/>
              </w:rPr>
            </w:pPr>
          </w:p>
        </w:tc>
        <w:tc>
          <w:tcPr>
            <w:tcW w:w="539" w:type="dxa"/>
            <w:vMerge w:val="continue"/>
            <w:shd w:val="clear" w:color="auto" w:fill="auto"/>
            <w:vAlign w:val="center"/>
          </w:tcPr>
          <w:p>
            <w:pPr>
              <w:widowControl/>
              <w:jc w:val="center"/>
              <w:rPr>
                <w:rFonts w:ascii="宋体" w:hAnsi="宋体" w:eastAsia="宋体" w:cs="Arial"/>
                <w:color w:val="000000"/>
                <w:kern w:val="0"/>
                <w:sz w:val="22"/>
              </w:rPr>
            </w:pPr>
          </w:p>
        </w:tc>
        <w:tc>
          <w:tcPr>
            <w:tcW w:w="1247" w:type="dxa"/>
            <w:vMerge w:val="continue"/>
            <w:shd w:val="clear" w:color="auto" w:fill="auto"/>
            <w:vAlign w:val="center"/>
          </w:tcPr>
          <w:p>
            <w:pPr>
              <w:widowControl/>
              <w:jc w:val="center"/>
              <w:rPr>
                <w:rFonts w:ascii="宋体" w:hAnsi="宋体" w:eastAsia="宋体" w:cs="Arial"/>
                <w:color w:val="000000"/>
                <w:kern w:val="0"/>
                <w:sz w:val="22"/>
              </w:rPr>
            </w:pPr>
          </w:p>
        </w:tc>
        <w:tc>
          <w:tcPr>
            <w:tcW w:w="1248" w:type="dxa"/>
            <w:vMerge w:val="continue"/>
            <w:shd w:val="clear" w:color="auto" w:fill="auto"/>
            <w:vAlign w:val="center"/>
          </w:tcPr>
          <w:p>
            <w:pPr>
              <w:widowControl/>
              <w:jc w:val="center"/>
              <w:rPr>
                <w:rFonts w:ascii="宋体" w:hAnsi="宋体" w:eastAsia="宋体" w:cs="Arial"/>
                <w:color w:val="000000"/>
                <w:kern w:val="0"/>
                <w:sz w:val="22"/>
              </w:rPr>
            </w:pPr>
          </w:p>
        </w:tc>
        <w:tc>
          <w:tcPr>
            <w:tcW w:w="1248" w:type="dxa"/>
            <w:vMerge w:val="continue"/>
            <w:shd w:val="clear" w:color="auto" w:fill="auto"/>
            <w:vAlign w:val="center"/>
          </w:tcPr>
          <w:p>
            <w:pPr>
              <w:widowControl/>
              <w:jc w:val="center"/>
              <w:rPr>
                <w:rFonts w:ascii="宋体" w:hAnsi="宋体" w:eastAsia="宋体" w:cs="Arial"/>
                <w:color w:val="000000"/>
                <w:kern w:val="0"/>
                <w:sz w:val="22"/>
              </w:rPr>
            </w:pPr>
          </w:p>
        </w:tc>
        <w:tc>
          <w:tcPr>
            <w:tcW w:w="1828" w:type="dxa"/>
            <w:vMerge w:val="continue"/>
            <w:shd w:val="clear" w:color="auto" w:fill="auto"/>
            <w:vAlign w:val="center"/>
          </w:tcPr>
          <w:p>
            <w:pPr>
              <w:widowControl/>
              <w:jc w:val="center"/>
              <w:rPr>
                <w:rFonts w:ascii="宋体" w:hAnsi="宋体" w:eastAsia="宋体" w:cs="Arial"/>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691"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栏次</w:t>
            </w:r>
          </w:p>
        </w:tc>
        <w:tc>
          <w:tcPr>
            <w:tcW w:w="539" w:type="dxa"/>
            <w:shd w:val="clear" w:color="auto" w:fill="auto"/>
            <w:noWrap/>
            <w:vAlign w:val="center"/>
          </w:tcPr>
          <w:p>
            <w:pPr>
              <w:widowControl/>
              <w:jc w:val="center"/>
              <w:rPr>
                <w:rFonts w:hint="eastAsia" w:ascii="宋体" w:hAnsi="宋体" w:eastAsia="宋体" w:cs="Arial"/>
                <w:color w:val="000000"/>
                <w:kern w:val="0"/>
                <w:sz w:val="22"/>
              </w:rPr>
            </w:pPr>
          </w:p>
        </w:tc>
        <w:tc>
          <w:tcPr>
            <w:tcW w:w="109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w:t>
            </w:r>
          </w:p>
        </w:tc>
        <w:tc>
          <w:tcPr>
            <w:tcW w:w="340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栏次</w:t>
            </w:r>
          </w:p>
        </w:tc>
        <w:tc>
          <w:tcPr>
            <w:tcW w:w="539" w:type="dxa"/>
            <w:shd w:val="clear" w:color="auto" w:fill="auto"/>
            <w:noWrap/>
            <w:vAlign w:val="center"/>
          </w:tcPr>
          <w:p>
            <w:pPr>
              <w:widowControl/>
              <w:jc w:val="center"/>
              <w:rPr>
                <w:rFonts w:hint="eastAsia" w:ascii="宋体" w:hAnsi="宋体" w:eastAsia="宋体" w:cs="Arial"/>
                <w:color w:val="000000"/>
                <w:kern w:val="0"/>
                <w:sz w:val="22"/>
              </w:rPr>
            </w:pPr>
          </w:p>
        </w:tc>
        <w:tc>
          <w:tcPr>
            <w:tcW w:w="124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w:t>
            </w:r>
          </w:p>
        </w:tc>
        <w:tc>
          <w:tcPr>
            <w:tcW w:w="182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691"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一、一般公共预算财政拨款</w:t>
            </w: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w:t>
            </w:r>
          </w:p>
        </w:tc>
        <w:tc>
          <w:tcPr>
            <w:tcW w:w="109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1,376.11</w:t>
            </w:r>
          </w:p>
        </w:tc>
        <w:tc>
          <w:tcPr>
            <w:tcW w:w="340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33</w:t>
            </w:r>
          </w:p>
        </w:tc>
        <w:tc>
          <w:tcPr>
            <w:tcW w:w="124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82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691"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二、政府性基金预算财政拨款</w:t>
            </w: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w:t>
            </w:r>
          </w:p>
        </w:tc>
        <w:tc>
          <w:tcPr>
            <w:tcW w:w="109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340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二、外交支出</w:t>
            </w: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34</w:t>
            </w:r>
          </w:p>
        </w:tc>
        <w:tc>
          <w:tcPr>
            <w:tcW w:w="124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82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691"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三、国有资本经营财政拨款</w:t>
            </w: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w:t>
            </w:r>
          </w:p>
        </w:tc>
        <w:tc>
          <w:tcPr>
            <w:tcW w:w="109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340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三、国防支出</w:t>
            </w: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35</w:t>
            </w:r>
          </w:p>
        </w:tc>
        <w:tc>
          <w:tcPr>
            <w:tcW w:w="124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82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691" w:type="dxa"/>
            <w:shd w:val="clear" w:color="auto" w:fill="auto"/>
            <w:noWrap/>
            <w:vAlign w:val="center"/>
          </w:tcPr>
          <w:p>
            <w:pPr>
              <w:widowControl/>
              <w:jc w:val="center"/>
              <w:rPr>
                <w:rFonts w:hint="eastAsia" w:ascii="宋体" w:hAnsi="宋体" w:eastAsia="宋体" w:cs="Arial"/>
                <w:color w:val="000000"/>
                <w:kern w:val="0"/>
                <w:sz w:val="22"/>
              </w:rPr>
            </w:pP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w:t>
            </w:r>
          </w:p>
        </w:tc>
        <w:tc>
          <w:tcPr>
            <w:tcW w:w="1099" w:type="dxa"/>
            <w:shd w:val="clear" w:color="auto" w:fill="auto"/>
            <w:noWrap/>
            <w:vAlign w:val="center"/>
          </w:tcPr>
          <w:p>
            <w:pPr>
              <w:widowControl/>
              <w:jc w:val="center"/>
              <w:rPr>
                <w:rFonts w:hint="eastAsia" w:ascii="宋体" w:hAnsi="宋体" w:eastAsia="宋体" w:cs="Arial"/>
                <w:color w:val="000000"/>
                <w:kern w:val="0"/>
                <w:sz w:val="22"/>
              </w:rPr>
            </w:pPr>
          </w:p>
        </w:tc>
        <w:tc>
          <w:tcPr>
            <w:tcW w:w="340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36</w:t>
            </w:r>
          </w:p>
        </w:tc>
        <w:tc>
          <w:tcPr>
            <w:tcW w:w="124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82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691" w:type="dxa"/>
            <w:shd w:val="clear" w:color="auto" w:fill="auto"/>
            <w:noWrap/>
            <w:vAlign w:val="center"/>
          </w:tcPr>
          <w:p>
            <w:pPr>
              <w:widowControl/>
              <w:jc w:val="center"/>
              <w:rPr>
                <w:rFonts w:hint="eastAsia" w:ascii="宋体" w:hAnsi="宋体" w:eastAsia="宋体" w:cs="Arial"/>
                <w:color w:val="000000"/>
                <w:kern w:val="0"/>
                <w:sz w:val="22"/>
              </w:rPr>
            </w:pP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w:t>
            </w:r>
          </w:p>
        </w:tc>
        <w:tc>
          <w:tcPr>
            <w:tcW w:w="1099" w:type="dxa"/>
            <w:shd w:val="clear" w:color="auto" w:fill="auto"/>
            <w:noWrap/>
            <w:vAlign w:val="center"/>
          </w:tcPr>
          <w:p>
            <w:pPr>
              <w:widowControl/>
              <w:jc w:val="center"/>
              <w:rPr>
                <w:rFonts w:hint="eastAsia" w:ascii="宋体" w:hAnsi="宋体" w:eastAsia="宋体" w:cs="Arial"/>
                <w:color w:val="000000"/>
                <w:kern w:val="0"/>
                <w:sz w:val="22"/>
              </w:rPr>
            </w:pPr>
          </w:p>
        </w:tc>
        <w:tc>
          <w:tcPr>
            <w:tcW w:w="340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五、教育支出</w:t>
            </w: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37</w:t>
            </w:r>
          </w:p>
        </w:tc>
        <w:tc>
          <w:tcPr>
            <w:tcW w:w="124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1,138.64</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1,138.64</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82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691" w:type="dxa"/>
            <w:shd w:val="clear" w:color="auto" w:fill="auto"/>
            <w:noWrap/>
            <w:vAlign w:val="center"/>
          </w:tcPr>
          <w:p>
            <w:pPr>
              <w:widowControl/>
              <w:jc w:val="center"/>
              <w:rPr>
                <w:rFonts w:hint="eastAsia" w:ascii="宋体" w:hAnsi="宋体" w:eastAsia="宋体" w:cs="Arial"/>
                <w:color w:val="000000"/>
                <w:kern w:val="0"/>
                <w:sz w:val="22"/>
              </w:rPr>
            </w:pP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6</w:t>
            </w:r>
          </w:p>
        </w:tc>
        <w:tc>
          <w:tcPr>
            <w:tcW w:w="1099" w:type="dxa"/>
            <w:shd w:val="clear" w:color="auto" w:fill="auto"/>
            <w:noWrap/>
            <w:vAlign w:val="center"/>
          </w:tcPr>
          <w:p>
            <w:pPr>
              <w:widowControl/>
              <w:jc w:val="center"/>
              <w:rPr>
                <w:rFonts w:hint="eastAsia" w:ascii="宋体" w:hAnsi="宋体" w:eastAsia="宋体" w:cs="Arial"/>
                <w:color w:val="000000"/>
                <w:kern w:val="0"/>
                <w:sz w:val="22"/>
              </w:rPr>
            </w:pPr>
          </w:p>
        </w:tc>
        <w:tc>
          <w:tcPr>
            <w:tcW w:w="340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38</w:t>
            </w:r>
          </w:p>
        </w:tc>
        <w:tc>
          <w:tcPr>
            <w:tcW w:w="124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82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691" w:type="dxa"/>
            <w:shd w:val="clear" w:color="auto" w:fill="auto"/>
            <w:noWrap/>
            <w:vAlign w:val="center"/>
          </w:tcPr>
          <w:p>
            <w:pPr>
              <w:widowControl/>
              <w:jc w:val="center"/>
              <w:rPr>
                <w:rFonts w:hint="eastAsia" w:ascii="宋体" w:hAnsi="宋体" w:eastAsia="宋体" w:cs="Arial"/>
                <w:color w:val="000000"/>
                <w:kern w:val="0"/>
                <w:sz w:val="22"/>
              </w:rPr>
            </w:pP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7</w:t>
            </w:r>
          </w:p>
        </w:tc>
        <w:tc>
          <w:tcPr>
            <w:tcW w:w="1099" w:type="dxa"/>
            <w:shd w:val="clear" w:color="auto" w:fill="auto"/>
            <w:noWrap/>
            <w:vAlign w:val="center"/>
          </w:tcPr>
          <w:p>
            <w:pPr>
              <w:widowControl/>
              <w:jc w:val="center"/>
              <w:rPr>
                <w:rFonts w:hint="eastAsia" w:ascii="宋体" w:hAnsi="宋体" w:eastAsia="宋体" w:cs="Arial"/>
                <w:color w:val="000000"/>
                <w:kern w:val="0"/>
                <w:sz w:val="22"/>
              </w:rPr>
            </w:pPr>
          </w:p>
        </w:tc>
        <w:tc>
          <w:tcPr>
            <w:tcW w:w="340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39</w:t>
            </w:r>
          </w:p>
        </w:tc>
        <w:tc>
          <w:tcPr>
            <w:tcW w:w="124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82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691" w:type="dxa"/>
            <w:shd w:val="clear" w:color="auto" w:fill="auto"/>
            <w:noWrap/>
            <w:vAlign w:val="center"/>
          </w:tcPr>
          <w:p>
            <w:pPr>
              <w:widowControl/>
              <w:jc w:val="center"/>
              <w:rPr>
                <w:rFonts w:hint="eastAsia" w:ascii="宋体" w:hAnsi="宋体" w:eastAsia="宋体" w:cs="Arial"/>
                <w:color w:val="000000"/>
                <w:kern w:val="0"/>
                <w:sz w:val="22"/>
              </w:rPr>
            </w:pP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8</w:t>
            </w:r>
          </w:p>
        </w:tc>
        <w:tc>
          <w:tcPr>
            <w:tcW w:w="1099" w:type="dxa"/>
            <w:shd w:val="clear" w:color="auto" w:fill="auto"/>
            <w:noWrap/>
            <w:vAlign w:val="center"/>
          </w:tcPr>
          <w:p>
            <w:pPr>
              <w:widowControl/>
              <w:jc w:val="center"/>
              <w:rPr>
                <w:rFonts w:hint="eastAsia" w:ascii="宋体" w:hAnsi="宋体" w:eastAsia="宋体" w:cs="Arial"/>
                <w:color w:val="000000"/>
                <w:kern w:val="0"/>
                <w:sz w:val="22"/>
              </w:rPr>
            </w:pPr>
          </w:p>
        </w:tc>
        <w:tc>
          <w:tcPr>
            <w:tcW w:w="340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40</w:t>
            </w:r>
          </w:p>
        </w:tc>
        <w:tc>
          <w:tcPr>
            <w:tcW w:w="124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75.49</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75.49</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82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691" w:type="dxa"/>
            <w:shd w:val="clear" w:color="auto" w:fill="auto"/>
            <w:noWrap/>
            <w:vAlign w:val="center"/>
          </w:tcPr>
          <w:p>
            <w:pPr>
              <w:widowControl/>
              <w:jc w:val="center"/>
              <w:rPr>
                <w:rFonts w:hint="eastAsia" w:ascii="宋体" w:hAnsi="宋体" w:eastAsia="宋体" w:cs="Arial"/>
                <w:color w:val="000000"/>
                <w:kern w:val="0"/>
                <w:sz w:val="22"/>
              </w:rPr>
            </w:pP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9</w:t>
            </w:r>
          </w:p>
        </w:tc>
        <w:tc>
          <w:tcPr>
            <w:tcW w:w="1099" w:type="dxa"/>
            <w:shd w:val="clear" w:color="auto" w:fill="auto"/>
            <w:noWrap/>
            <w:vAlign w:val="center"/>
          </w:tcPr>
          <w:p>
            <w:pPr>
              <w:widowControl/>
              <w:jc w:val="center"/>
              <w:rPr>
                <w:rFonts w:hint="eastAsia" w:ascii="宋体" w:hAnsi="宋体" w:eastAsia="宋体" w:cs="Arial"/>
                <w:color w:val="000000"/>
                <w:kern w:val="0"/>
                <w:sz w:val="22"/>
              </w:rPr>
            </w:pPr>
          </w:p>
        </w:tc>
        <w:tc>
          <w:tcPr>
            <w:tcW w:w="340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41</w:t>
            </w:r>
          </w:p>
        </w:tc>
        <w:tc>
          <w:tcPr>
            <w:tcW w:w="124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27.06</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27.06</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82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691" w:type="dxa"/>
            <w:shd w:val="clear" w:color="auto" w:fill="auto"/>
            <w:noWrap/>
            <w:vAlign w:val="center"/>
          </w:tcPr>
          <w:p>
            <w:pPr>
              <w:widowControl/>
              <w:jc w:val="center"/>
              <w:rPr>
                <w:rFonts w:hint="eastAsia" w:ascii="宋体" w:hAnsi="宋体" w:eastAsia="宋体" w:cs="Arial"/>
                <w:color w:val="000000"/>
                <w:kern w:val="0"/>
                <w:sz w:val="22"/>
              </w:rPr>
            </w:pP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10</w:t>
            </w:r>
          </w:p>
        </w:tc>
        <w:tc>
          <w:tcPr>
            <w:tcW w:w="1099" w:type="dxa"/>
            <w:shd w:val="clear" w:color="auto" w:fill="auto"/>
            <w:noWrap/>
            <w:vAlign w:val="center"/>
          </w:tcPr>
          <w:p>
            <w:pPr>
              <w:widowControl/>
              <w:jc w:val="center"/>
              <w:rPr>
                <w:rFonts w:hint="eastAsia" w:ascii="宋体" w:hAnsi="宋体" w:eastAsia="宋体" w:cs="Arial"/>
                <w:color w:val="000000"/>
                <w:kern w:val="0"/>
                <w:sz w:val="22"/>
              </w:rPr>
            </w:pPr>
          </w:p>
        </w:tc>
        <w:tc>
          <w:tcPr>
            <w:tcW w:w="340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42</w:t>
            </w:r>
          </w:p>
        </w:tc>
        <w:tc>
          <w:tcPr>
            <w:tcW w:w="124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82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691" w:type="dxa"/>
            <w:shd w:val="clear" w:color="auto" w:fill="auto"/>
            <w:noWrap/>
            <w:vAlign w:val="center"/>
          </w:tcPr>
          <w:p>
            <w:pPr>
              <w:widowControl/>
              <w:jc w:val="center"/>
              <w:rPr>
                <w:rFonts w:hint="eastAsia" w:ascii="宋体" w:hAnsi="宋体" w:eastAsia="宋体" w:cs="Arial"/>
                <w:color w:val="000000"/>
                <w:kern w:val="0"/>
                <w:sz w:val="22"/>
              </w:rPr>
            </w:pP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11</w:t>
            </w:r>
          </w:p>
        </w:tc>
        <w:tc>
          <w:tcPr>
            <w:tcW w:w="1099" w:type="dxa"/>
            <w:shd w:val="clear" w:color="auto" w:fill="auto"/>
            <w:noWrap/>
            <w:vAlign w:val="center"/>
          </w:tcPr>
          <w:p>
            <w:pPr>
              <w:widowControl/>
              <w:jc w:val="center"/>
              <w:rPr>
                <w:rFonts w:hint="eastAsia" w:ascii="宋体" w:hAnsi="宋体" w:eastAsia="宋体" w:cs="Arial"/>
                <w:color w:val="000000"/>
                <w:kern w:val="0"/>
                <w:sz w:val="22"/>
              </w:rPr>
            </w:pPr>
          </w:p>
        </w:tc>
        <w:tc>
          <w:tcPr>
            <w:tcW w:w="340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43</w:t>
            </w:r>
          </w:p>
        </w:tc>
        <w:tc>
          <w:tcPr>
            <w:tcW w:w="124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82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691" w:type="dxa"/>
            <w:shd w:val="clear" w:color="auto" w:fill="auto"/>
            <w:noWrap/>
            <w:vAlign w:val="center"/>
          </w:tcPr>
          <w:p>
            <w:pPr>
              <w:widowControl/>
              <w:jc w:val="center"/>
              <w:rPr>
                <w:rFonts w:hint="eastAsia" w:ascii="宋体" w:hAnsi="宋体" w:eastAsia="宋体" w:cs="Arial"/>
                <w:color w:val="000000"/>
                <w:kern w:val="0"/>
                <w:sz w:val="22"/>
              </w:rPr>
            </w:pP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12</w:t>
            </w:r>
          </w:p>
        </w:tc>
        <w:tc>
          <w:tcPr>
            <w:tcW w:w="1099" w:type="dxa"/>
            <w:shd w:val="clear" w:color="auto" w:fill="auto"/>
            <w:noWrap/>
            <w:vAlign w:val="center"/>
          </w:tcPr>
          <w:p>
            <w:pPr>
              <w:widowControl/>
              <w:jc w:val="center"/>
              <w:rPr>
                <w:rFonts w:hint="eastAsia" w:ascii="宋体" w:hAnsi="宋体" w:eastAsia="宋体" w:cs="Arial"/>
                <w:color w:val="000000"/>
                <w:kern w:val="0"/>
                <w:sz w:val="22"/>
              </w:rPr>
            </w:pPr>
          </w:p>
        </w:tc>
        <w:tc>
          <w:tcPr>
            <w:tcW w:w="340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44</w:t>
            </w:r>
          </w:p>
        </w:tc>
        <w:tc>
          <w:tcPr>
            <w:tcW w:w="124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82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691" w:type="dxa"/>
            <w:shd w:val="clear" w:color="auto" w:fill="auto"/>
            <w:noWrap/>
            <w:vAlign w:val="center"/>
          </w:tcPr>
          <w:p>
            <w:pPr>
              <w:widowControl/>
              <w:jc w:val="center"/>
              <w:rPr>
                <w:rFonts w:hint="eastAsia" w:ascii="宋体" w:hAnsi="宋体" w:eastAsia="宋体" w:cs="Arial"/>
                <w:color w:val="000000"/>
                <w:kern w:val="0"/>
                <w:sz w:val="22"/>
              </w:rPr>
            </w:pP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13</w:t>
            </w:r>
          </w:p>
        </w:tc>
        <w:tc>
          <w:tcPr>
            <w:tcW w:w="1099" w:type="dxa"/>
            <w:shd w:val="clear" w:color="auto" w:fill="auto"/>
            <w:noWrap/>
            <w:vAlign w:val="center"/>
          </w:tcPr>
          <w:p>
            <w:pPr>
              <w:widowControl/>
              <w:jc w:val="center"/>
              <w:rPr>
                <w:rFonts w:hint="eastAsia" w:ascii="宋体" w:hAnsi="宋体" w:eastAsia="宋体" w:cs="Arial"/>
                <w:color w:val="000000"/>
                <w:kern w:val="0"/>
                <w:sz w:val="22"/>
              </w:rPr>
            </w:pPr>
          </w:p>
        </w:tc>
        <w:tc>
          <w:tcPr>
            <w:tcW w:w="340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45</w:t>
            </w:r>
          </w:p>
        </w:tc>
        <w:tc>
          <w:tcPr>
            <w:tcW w:w="124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82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691" w:type="dxa"/>
            <w:shd w:val="clear" w:color="auto" w:fill="auto"/>
            <w:noWrap/>
            <w:vAlign w:val="center"/>
          </w:tcPr>
          <w:p>
            <w:pPr>
              <w:widowControl/>
              <w:jc w:val="center"/>
              <w:rPr>
                <w:rFonts w:hint="eastAsia" w:ascii="宋体" w:hAnsi="宋体" w:eastAsia="宋体" w:cs="Arial"/>
                <w:color w:val="000000"/>
                <w:kern w:val="0"/>
                <w:sz w:val="22"/>
              </w:rPr>
            </w:pP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14</w:t>
            </w:r>
          </w:p>
        </w:tc>
        <w:tc>
          <w:tcPr>
            <w:tcW w:w="1099" w:type="dxa"/>
            <w:shd w:val="clear" w:color="auto" w:fill="auto"/>
            <w:noWrap/>
            <w:vAlign w:val="center"/>
          </w:tcPr>
          <w:p>
            <w:pPr>
              <w:widowControl/>
              <w:jc w:val="center"/>
              <w:rPr>
                <w:rFonts w:hint="eastAsia" w:ascii="宋体" w:hAnsi="宋体" w:eastAsia="宋体" w:cs="Arial"/>
                <w:color w:val="000000"/>
                <w:kern w:val="0"/>
                <w:sz w:val="22"/>
              </w:rPr>
            </w:pPr>
          </w:p>
        </w:tc>
        <w:tc>
          <w:tcPr>
            <w:tcW w:w="340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十四、资源勘探工业信息等支出</w:t>
            </w: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46</w:t>
            </w:r>
          </w:p>
        </w:tc>
        <w:tc>
          <w:tcPr>
            <w:tcW w:w="124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82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691" w:type="dxa"/>
            <w:shd w:val="clear" w:color="auto" w:fill="auto"/>
            <w:noWrap/>
            <w:vAlign w:val="center"/>
          </w:tcPr>
          <w:p>
            <w:pPr>
              <w:widowControl/>
              <w:jc w:val="center"/>
              <w:rPr>
                <w:rFonts w:hint="eastAsia" w:ascii="宋体" w:hAnsi="宋体" w:eastAsia="宋体" w:cs="Arial"/>
                <w:color w:val="000000"/>
                <w:kern w:val="0"/>
                <w:sz w:val="22"/>
              </w:rPr>
            </w:pP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15</w:t>
            </w:r>
          </w:p>
        </w:tc>
        <w:tc>
          <w:tcPr>
            <w:tcW w:w="1099" w:type="dxa"/>
            <w:shd w:val="clear" w:color="auto" w:fill="auto"/>
            <w:noWrap/>
            <w:vAlign w:val="center"/>
          </w:tcPr>
          <w:p>
            <w:pPr>
              <w:widowControl/>
              <w:jc w:val="center"/>
              <w:rPr>
                <w:rFonts w:hint="eastAsia" w:ascii="宋体" w:hAnsi="宋体" w:eastAsia="宋体" w:cs="Arial"/>
                <w:color w:val="000000"/>
                <w:kern w:val="0"/>
                <w:sz w:val="22"/>
              </w:rPr>
            </w:pPr>
          </w:p>
        </w:tc>
        <w:tc>
          <w:tcPr>
            <w:tcW w:w="340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47</w:t>
            </w:r>
          </w:p>
        </w:tc>
        <w:tc>
          <w:tcPr>
            <w:tcW w:w="124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82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691" w:type="dxa"/>
            <w:shd w:val="clear" w:color="auto" w:fill="auto"/>
            <w:noWrap/>
            <w:vAlign w:val="center"/>
          </w:tcPr>
          <w:p>
            <w:pPr>
              <w:widowControl/>
              <w:jc w:val="center"/>
              <w:rPr>
                <w:rFonts w:hint="eastAsia" w:ascii="宋体" w:hAnsi="宋体" w:eastAsia="宋体" w:cs="Arial"/>
                <w:color w:val="000000"/>
                <w:kern w:val="0"/>
                <w:sz w:val="22"/>
              </w:rPr>
            </w:pP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16</w:t>
            </w:r>
          </w:p>
        </w:tc>
        <w:tc>
          <w:tcPr>
            <w:tcW w:w="1099" w:type="dxa"/>
            <w:shd w:val="clear" w:color="auto" w:fill="auto"/>
            <w:noWrap/>
            <w:vAlign w:val="center"/>
          </w:tcPr>
          <w:p>
            <w:pPr>
              <w:widowControl/>
              <w:jc w:val="center"/>
              <w:rPr>
                <w:rFonts w:hint="eastAsia" w:ascii="宋体" w:hAnsi="宋体" w:eastAsia="宋体" w:cs="Arial"/>
                <w:color w:val="000000"/>
                <w:kern w:val="0"/>
                <w:sz w:val="22"/>
              </w:rPr>
            </w:pPr>
          </w:p>
        </w:tc>
        <w:tc>
          <w:tcPr>
            <w:tcW w:w="340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48</w:t>
            </w:r>
          </w:p>
        </w:tc>
        <w:tc>
          <w:tcPr>
            <w:tcW w:w="124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82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691" w:type="dxa"/>
            <w:shd w:val="clear" w:color="auto" w:fill="auto"/>
            <w:noWrap/>
            <w:vAlign w:val="center"/>
          </w:tcPr>
          <w:p>
            <w:pPr>
              <w:widowControl/>
              <w:jc w:val="center"/>
              <w:rPr>
                <w:rFonts w:hint="eastAsia" w:ascii="宋体" w:hAnsi="宋体" w:eastAsia="宋体" w:cs="Arial"/>
                <w:color w:val="000000"/>
                <w:kern w:val="0"/>
                <w:sz w:val="22"/>
              </w:rPr>
            </w:pP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17</w:t>
            </w:r>
          </w:p>
        </w:tc>
        <w:tc>
          <w:tcPr>
            <w:tcW w:w="1099" w:type="dxa"/>
            <w:shd w:val="clear" w:color="auto" w:fill="auto"/>
            <w:noWrap/>
            <w:vAlign w:val="center"/>
          </w:tcPr>
          <w:p>
            <w:pPr>
              <w:widowControl/>
              <w:jc w:val="center"/>
              <w:rPr>
                <w:rFonts w:hint="eastAsia" w:ascii="宋体" w:hAnsi="宋体" w:eastAsia="宋体" w:cs="Arial"/>
                <w:color w:val="000000"/>
                <w:kern w:val="0"/>
                <w:sz w:val="22"/>
              </w:rPr>
            </w:pPr>
          </w:p>
        </w:tc>
        <w:tc>
          <w:tcPr>
            <w:tcW w:w="340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49</w:t>
            </w:r>
          </w:p>
        </w:tc>
        <w:tc>
          <w:tcPr>
            <w:tcW w:w="124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82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2691" w:type="dxa"/>
            <w:shd w:val="clear" w:color="auto" w:fill="auto"/>
            <w:noWrap/>
            <w:vAlign w:val="center"/>
          </w:tcPr>
          <w:p>
            <w:pPr>
              <w:widowControl/>
              <w:jc w:val="center"/>
              <w:rPr>
                <w:rFonts w:hint="eastAsia" w:ascii="宋体" w:hAnsi="宋体" w:eastAsia="宋体" w:cs="Arial"/>
                <w:color w:val="000000"/>
                <w:kern w:val="0"/>
                <w:sz w:val="22"/>
              </w:rPr>
            </w:pP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18</w:t>
            </w:r>
          </w:p>
        </w:tc>
        <w:tc>
          <w:tcPr>
            <w:tcW w:w="1099" w:type="dxa"/>
            <w:shd w:val="clear" w:color="auto" w:fill="auto"/>
            <w:noWrap/>
            <w:vAlign w:val="center"/>
          </w:tcPr>
          <w:p>
            <w:pPr>
              <w:widowControl/>
              <w:jc w:val="center"/>
              <w:rPr>
                <w:rFonts w:hint="eastAsia" w:ascii="宋体" w:hAnsi="宋体" w:eastAsia="宋体" w:cs="Arial"/>
                <w:color w:val="000000"/>
                <w:kern w:val="0"/>
                <w:sz w:val="22"/>
              </w:rPr>
            </w:pPr>
          </w:p>
        </w:tc>
        <w:tc>
          <w:tcPr>
            <w:tcW w:w="340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50</w:t>
            </w:r>
          </w:p>
        </w:tc>
        <w:tc>
          <w:tcPr>
            <w:tcW w:w="124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82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691" w:type="dxa"/>
            <w:shd w:val="clear" w:color="auto" w:fill="auto"/>
            <w:noWrap/>
            <w:vAlign w:val="center"/>
          </w:tcPr>
          <w:p>
            <w:pPr>
              <w:widowControl/>
              <w:jc w:val="center"/>
              <w:rPr>
                <w:rFonts w:hint="eastAsia" w:ascii="宋体" w:hAnsi="宋体" w:eastAsia="宋体" w:cs="Arial"/>
                <w:color w:val="000000"/>
                <w:kern w:val="0"/>
                <w:sz w:val="22"/>
              </w:rPr>
            </w:pP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19</w:t>
            </w:r>
          </w:p>
        </w:tc>
        <w:tc>
          <w:tcPr>
            <w:tcW w:w="1099" w:type="dxa"/>
            <w:shd w:val="clear" w:color="auto" w:fill="auto"/>
            <w:noWrap/>
            <w:vAlign w:val="center"/>
          </w:tcPr>
          <w:p>
            <w:pPr>
              <w:widowControl/>
              <w:jc w:val="center"/>
              <w:rPr>
                <w:rFonts w:hint="eastAsia" w:ascii="宋体" w:hAnsi="宋体" w:eastAsia="宋体" w:cs="Arial"/>
                <w:color w:val="000000"/>
                <w:kern w:val="0"/>
                <w:sz w:val="22"/>
              </w:rPr>
            </w:pPr>
          </w:p>
        </w:tc>
        <w:tc>
          <w:tcPr>
            <w:tcW w:w="340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51</w:t>
            </w:r>
          </w:p>
        </w:tc>
        <w:tc>
          <w:tcPr>
            <w:tcW w:w="124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43.78</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43.78</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82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691" w:type="dxa"/>
            <w:shd w:val="clear" w:color="auto" w:fill="auto"/>
            <w:noWrap/>
            <w:vAlign w:val="center"/>
          </w:tcPr>
          <w:p>
            <w:pPr>
              <w:widowControl/>
              <w:jc w:val="center"/>
              <w:rPr>
                <w:rFonts w:hint="eastAsia" w:ascii="宋体" w:hAnsi="宋体" w:eastAsia="宋体" w:cs="Arial"/>
                <w:color w:val="000000"/>
                <w:kern w:val="0"/>
                <w:sz w:val="22"/>
              </w:rPr>
            </w:pP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20</w:t>
            </w:r>
          </w:p>
        </w:tc>
        <w:tc>
          <w:tcPr>
            <w:tcW w:w="1099" w:type="dxa"/>
            <w:shd w:val="clear" w:color="auto" w:fill="auto"/>
            <w:noWrap/>
            <w:vAlign w:val="center"/>
          </w:tcPr>
          <w:p>
            <w:pPr>
              <w:widowControl/>
              <w:jc w:val="center"/>
              <w:rPr>
                <w:rFonts w:hint="eastAsia" w:ascii="宋体" w:hAnsi="宋体" w:eastAsia="宋体" w:cs="Arial"/>
                <w:color w:val="000000"/>
                <w:kern w:val="0"/>
                <w:sz w:val="22"/>
              </w:rPr>
            </w:pPr>
          </w:p>
        </w:tc>
        <w:tc>
          <w:tcPr>
            <w:tcW w:w="340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52</w:t>
            </w:r>
          </w:p>
        </w:tc>
        <w:tc>
          <w:tcPr>
            <w:tcW w:w="124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82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691" w:type="dxa"/>
            <w:shd w:val="clear" w:color="auto" w:fill="auto"/>
            <w:noWrap/>
            <w:vAlign w:val="center"/>
          </w:tcPr>
          <w:p>
            <w:pPr>
              <w:widowControl/>
              <w:jc w:val="center"/>
              <w:rPr>
                <w:rFonts w:hint="eastAsia" w:ascii="宋体" w:hAnsi="宋体" w:eastAsia="宋体" w:cs="Arial"/>
                <w:color w:val="000000"/>
                <w:kern w:val="0"/>
                <w:sz w:val="22"/>
              </w:rPr>
            </w:pP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21</w:t>
            </w:r>
          </w:p>
        </w:tc>
        <w:tc>
          <w:tcPr>
            <w:tcW w:w="1099" w:type="dxa"/>
            <w:shd w:val="clear" w:color="auto" w:fill="auto"/>
            <w:noWrap/>
            <w:vAlign w:val="center"/>
          </w:tcPr>
          <w:p>
            <w:pPr>
              <w:widowControl/>
              <w:jc w:val="center"/>
              <w:rPr>
                <w:rFonts w:hint="eastAsia" w:ascii="宋体" w:hAnsi="宋体" w:eastAsia="宋体" w:cs="Arial"/>
                <w:color w:val="000000"/>
                <w:kern w:val="0"/>
                <w:sz w:val="22"/>
              </w:rPr>
            </w:pPr>
          </w:p>
        </w:tc>
        <w:tc>
          <w:tcPr>
            <w:tcW w:w="340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二十一、国有资本经营预算支出</w:t>
            </w: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53</w:t>
            </w:r>
          </w:p>
        </w:tc>
        <w:tc>
          <w:tcPr>
            <w:tcW w:w="124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82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691" w:type="dxa"/>
            <w:shd w:val="clear" w:color="auto" w:fill="auto"/>
            <w:noWrap/>
            <w:vAlign w:val="center"/>
          </w:tcPr>
          <w:p>
            <w:pPr>
              <w:widowControl/>
              <w:jc w:val="center"/>
              <w:rPr>
                <w:rFonts w:hint="eastAsia" w:ascii="宋体" w:hAnsi="宋体" w:eastAsia="宋体" w:cs="Arial"/>
                <w:color w:val="000000"/>
                <w:kern w:val="0"/>
                <w:sz w:val="22"/>
              </w:rPr>
            </w:pP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22</w:t>
            </w:r>
          </w:p>
        </w:tc>
        <w:tc>
          <w:tcPr>
            <w:tcW w:w="1099" w:type="dxa"/>
            <w:shd w:val="clear" w:color="auto" w:fill="auto"/>
            <w:noWrap/>
            <w:vAlign w:val="center"/>
          </w:tcPr>
          <w:p>
            <w:pPr>
              <w:widowControl/>
              <w:jc w:val="center"/>
              <w:rPr>
                <w:rFonts w:hint="eastAsia" w:ascii="宋体" w:hAnsi="宋体" w:eastAsia="宋体" w:cs="Arial"/>
                <w:color w:val="000000"/>
                <w:kern w:val="0"/>
                <w:sz w:val="22"/>
              </w:rPr>
            </w:pPr>
          </w:p>
        </w:tc>
        <w:tc>
          <w:tcPr>
            <w:tcW w:w="340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二十二、灾害防治及应急管理支出</w:t>
            </w: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54</w:t>
            </w:r>
          </w:p>
        </w:tc>
        <w:tc>
          <w:tcPr>
            <w:tcW w:w="124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82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691" w:type="dxa"/>
            <w:shd w:val="clear" w:color="auto" w:fill="auto"/>
            <w:noWrap/>
            <w:vAlign w:val="center"/>
          </w:tcPr>
          <w:p>
            <w:pPr>
              <w:widowControl/>
              <w:jc w:val="center"/>
              <w:rPr>
                <w:rFonts w:hint="eastAsia" w:ascii="宋体" w:hAnsi="宋体" w:eastAsia="宋体" w:cs="Arial"/>
                <w:color w:val="000000"/>
                <w:kern w:val="0"/>
                <w:sz w:val="22"/>
              </w:rPr>
            </w:pP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23</w:t>
            </w:r>
          </w:p>
        </w:tc>
        <w:tc>
          <w:tcPr>
            <w:tcW w:w="1099" w:type="dxa"/>
            <w:shd w:val="clear" w:color="auto" w:fill="auto"/>
            <w:noWrap/>
            <w:vAlign w:val="center"/>
          </w:tcPr>
          <w:p>
            <w:pPr>
              <w:widowControl/>
              <w:jc w:val="center"/>
              <w:rPr>
                <w:rFonts w:hint="eastAsia" w:ascii="宋体" w:hAnsi="宋体" w:eastAsia="宋体" w:cs="Arial"/>
                <w:color w:val="000000"/>
                <w:kern w:val="0"/>
                <w:sz w:val="22"/>
              </w:rPr>
            </w:pPr>
          </w:p>
        </w:tc>
        <w:tc>
          <w:tcPr>
            <w:tcW w:w="340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二十三、其他支出</w:t>
            </w: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55</w:t>
            </w:r>
          </w:p>
        </w:tc>
        <w:tc>
          <w:tcPr>
            <w:tcW w:w="124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82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691" w:type="dxa"/>
            <w:shd w:val="clear" w:color="auto" w:fill="auto"/>
            <w:noWrap/>
            <w:vAlign w:val="center"/>
          </w:tcPr>
          <w:p>
            <w:pPr>
              <w:widowControl/>
              <w:jc w:val="center"/>
              <w:rPr>
                <w:rFonts w:hint="eastAsia" w:ascii="宋体" w:hAnsi="宋体" w:eastAsia="宋体" w:cs="Arial"/>
                <w:b/>
                <w:bCs/>
                <w:color w:val="000000"/>
                <w:kern w:val="0"/>
                <w:sz w:val="20"/>
                <w:szCs w:val="20"/>
              </w:rPr>
            </w:pP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24</w:t>
            </w:r>
          </w:p>
        </w:tc>
        <w:tc>
          <w:tcPr>
            <w:tcW w:w="1099" w:type="dxa"/>
            <w:shd w:val="clear" w:color="auto" w:fill="auto"/>
            <w:noWrap/>
            <w:vAlign w:val="center"/>
          </w:tcPr>
          <w:p>
            <w:pPr>
              <w:widowControl/>
              <w:jc w:val="center"/>
              <w:rPr>
                <w:rFonts w:hint="eastAsia" w:ascii="宋体" w:hAnsi="宋体" w:eastAsia="宋体" w:cs="Arial"/>
                <w:color w:val="000000"/>
                <w:kern w:val="0"/>
                <w:sz w:val="22"/>
              </w:rPr>
            </w:pPr>
          </w:p>
        </w:tc>
        <w:tc>
          <w:tcPr>
            <w:tcW w:w="340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二十四、债务还本支出</w:t>
            </w: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56</w:t>
            </w:r>
          </w:p>
        </w:tc>
        <w:tc>
          <w:tcPr>
            <w:tcW w:w="124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82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691" w:type="dxa"/>
            <w:shd w:val="clear" w:color="auto" w:fill="auto"/>
            <w:noWrap/>
            <w:vAlign w:val="center"/>
          </w:tcPr>
          <w:p>
            <w:pPr>
              <w:widowControl/>
              <w:jc w:val="center"/>
              <w:rPr>
                <w:rFonts w:hint="eastAsia" w:ascii="宋体" w:hAnsi="宋体" w:eastAsia="宋体" w:cs="Arial"/>
                <w:color w:val="000000"/>
                <w:kern w:val="0"/>
                <w:sz w:val="20"/>
                <w:szCs w:val="20"/>
              </w:rPr>
            </w:pP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25</w:t>
            </w:r>
          </w:p>
        </w:tc>
        <w:tc>
          <w:tcPr>
            <w:tcW w:w="1099" w:type="dxa"/>
            <w:shd w:val="clear" w:color="auto" w:fill="auto"/>
            <w:noWrap/>
            <w:vAlign w:val="center"/>
          </w:tcPr>
          <w:p>
            <w:pPr>
              <w:widowControl/>
              <w:jc w:val="center"/>
              <w:rPr>
                <w:rFonts w:hint="eastAsia" w:ascii="宋体" w:hAnsi="宋体" w:eastAsia="宋体" w:cs="Arial"/>
                <w:color w:val="000000"/>
                <w:kern w:val="0"/>
                <w:sz w:val="22"/>
              </w:rPr>
            </w:pPr>
          </w:p>
        </w:tc>
        <w:tc>
          <w:tcPr>
            <w:tcW w:w="340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二十五、债务付息支出</w:t>
            </w: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57</w:t>
            </w:r>
          </w:p>
        </w:tc>
        <w:tc>
          <w:tcPr>
            <w:tcW w:w="124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82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691" w:type="dxa"/>
            <w:shd w:val="clear" w:color="auto" w:fill="auto"/>
            <w:noWrap/>
            <w:vAlign w:val="center"/>
          </w:tcPr>
          <w:p>
            <w:pPr>
              <w:widowControl/>
              <w:jc w:val="center"/>
              <w:rPr>
                <w:rFonts w:hint="eastAsia" w:ascii="宋体" w:hAnsi="宋体" w:eastAsia="宋体" w:cs="Arial"/>
                <w:color w:val="000000"/>
                <w:kern w:val="0"/>
                <w:sz w:val="20"/>
                <w:szCs w:val="20"/>
              </w:rPr>
            </w:pP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26</w:t>
            </w:r>
          </w:p>
        </w:tc>
        <w:tc>
          <w:tcPr>
            <w:tcW w:w="1099" w:type="dxa"/>
            <w:shd w:val="clear" w:color="auto" w:fill="auto"/>
            <w:noWrap/>
            <w:vAlign w:val="center"/>
          </w:tcPr>
          <w:p>
            <w:pPr>
              <w:widowControl/>
              <w:jc w:val="center"/>
              <w:rPr>
                <w:rFonts w:hint="eastAsia" w:ascii="宋体" w:hAnsi="宋体" w:eastAsia="宋体" w:cs="Arial"/>
                <w:color w:val="000000"/>
                <w:kern w:val="0"/>
                <w:sz w:val="22"/>
              </w:rPr>
            </w:pPr>
          </w:p>
        </w:tc>
        <w:tc>
          <w:tcPr>
            <w:tcW w:w="340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二十六、抗疫特别国债安排的支出</w:t>
            </w: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58</w:t>
            </w:r>
          </w:p>
        </w:tc>
        <w:tc>
          <w:tcPr>
            <w:tcW w:w="124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82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691" w:type="dxa"/>
            <w:shd w:val="clear" w:color="auto" w:fill="auto"/>
            <w:noWrap/>
            <w:vAlign w:val="center"/>
          </w:tcPr>
          <w:p>
            <w:pPr>
              <w:widowControl/>
              <w:jc w:val="center"/>
              <w:rPr>
                <w:rFonts w:hint="eastAsia"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27</w:t>
            </w:r>
          </w:p>
        </w:tc>
        <w:tc>
          <w:tcPr>
            <w:tcW w:w="109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1,376.11</w:t>
            </w:r>
          </w:p>
        </w:tc>
        <w:tc>
          <w:tcPr>
            <w:tcW w:w="3407" w:type="dxa"/>
            <w:shd w:val="clear" w:color="auto" w:fill="auto"/>
            <w:noWrap/>
            <w:vAlign w:val="center"/>
          </w:tcPr>
          <w:p>
            <w:pPr>
              <w:widowControl/>
              <w:jc w:val="center"/>
              <w:rPr>
                <w:rFonts w:hint="eastAsia"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59</w:t>
            </w:r>
          </w:p>
        </w:tc>
        <w:tc>
          <w:tcPr>
            <w:tcW w:w="124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1,284.97</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1,284.97</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82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691"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年初财政拨款结转和结余</w:t>
            </w: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28</w:t>
            </w:r>
          </w:p>
        </w:tc>
        <w:tc>
          <w:tcPr>
            <w:tcW w:w="109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30.00</w:t>
            </w:r>
          </w:p>
        </w:tc>
        <w:tc>
          <w:tcPr>
            <w:tcW w:w="340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年末财政拨款结转和结余</w:t>
            </w: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60</w:t>
            </w:r>
          </w:p>
        </w:tc>
        <w:tc>
          <w:tcPr>
            <w:tcW w:w="124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121.14</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121.14</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82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691"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一般公共预算财政拨款</w:t>
            </w: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29</w:t>
            </w:r>
          </w:p>
        </w:tc>
        <w:tc>
          <w:tcPr>
            <w:tcW w:w="109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30.00</w:t>
            </w:r>
          </w:p>
        </w:tc>
        <w:tc>
          <w:tcPr>
            <w:tcW w:w="3407" w:type="dxa"/>
            <w:shd w:val="clear" w:color="auto" w:fill="auto"/>
            <w:noWrap/>
            <w:vAlign w:val="center"/>
          </w:tcPr>
          <w:p>
            <w:pPr>
              <w:widowControl/>
              <w:jc w:val="center"/>
              <w:rPr>
                <w:rFonts w:hint="eastAsia" w:ascii="宋体" w:hAnsi="宋体" w:eastAsia="宋体" w:cs="Arial"/>
                <w:color w:val="000000"/>
                <w:kern w:val="0"/>
                <w:sz w:val="22"/>
              </w:rPr>
            </w:pP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61</w:t>
            </w:r>
          </w:p>
        </w:tc>
        <w:tc>
          <w:tcPr>
            <w:tcW w:w="1247" w:type="dxa"/>
            <w:shd w:val="clear" w:color="auto" w:fill="auto"/>
            <w:noWrap/>
            <w:vAlign w:val="center"/>
          </w:tcPr>
          <w:p>
            <w:pPr>
              <w:widowControl/>
              <w:tabs>
                <w:tab w:val="left" w:pos="484"/>
              </w:tabs>
              <w:jc w:val="left"/>
              <w:rPr>
                <w:rFonts w:hint="eastAsia" w:ascii="宋体" w:hAnsi="宋体" w:eastAsia="宋体" w:cs="Arial"/>
                <w:color w:val="000000"/>
                <w:kern w:val="0"/>
                <w:sz w:val="22"/>
                <w:lang w:eastAsia="zh-CN"/>
              </w:rPr>
            </w:pPr>
            <w:r>
              <w:rPr>
                <w:rFonts w:hint="eastAsia" w:ascii="宋体" w:hAnsi="宋体" w:eastAsia="宋体" w:cs="Arial"/>
                <w:color w:val="000000"/>
                <w:kern w:val="0"/>
                <w:sz w:val="22"/>
                <w:lang w:eastAsia="zh-CN"/>
              </w:rPr>
              <w:tab/>
            </w:r>
          </w:p>
        </w:tc>
        <w:tc>
          <w:tcPr>
            <w:tcW w:w="1248" w:type="dxa"/>
            <w:shd w:val="clear" w:color="auto" w:fill="auto"/>
            <w:noWrap/>
            <w:vAlign w:val="center"/>
          </w:tcPr>
          <w:p>
            <w:pPr>
              <w:widowControl/>
              <w:jc w:val="center"/>
              <w:rPr>
                <w:rFonts w:hint="eastAsia" w:ascii="宋体" w:hAnsi="宋体" w:eastAsia="宋体" w:cs="Arial"/>
                <w:color w:val="000000"/>
                <w:kern w:val="0"/>
                <w:sz w:val="22"/>
              </w:rPr>
            </w:pPr>
          </w:p>
        </w:tc>
        <w:tc>
          <w:tcPr>
            <w:tcW w:w="1248" w:type="dxa"/>
            <w:shd w:val="clear" w:color="auto" w:fill="auto"/>
            <w:noWrap/>
            <w:vAlign w:val="center"/>
          </w:tcPr>
          <w:p>
            <w:pPr>
              <w:widowControl/>
              <w:jc w:val="center"/>
              <w:rPr>
                <w:rFonts w:hint="eastAsia" w:ascii="宋体" w:hAnsi="宋体" w:eastAsia="宋体" w:cs="Arial"/>
                <w:color w:val="000000"/>
                <w:kern w:val="0"/>
                <w:sz w:val="22"/>
              </w:rPr>
            </w:pPr>
          </w:p>
        </w:tc>
        <w:tc>
          <w:tcPr>
            <w:tcW w:w="1828" w:type="dxa"/>
            <w:shd w:val="clear" w:color="auto" w:fill="auto"/>
            <w:noWrap/>
            <w:vAlign w:val="center"/>
          </w:tcPr>
          <w:p>
            <w:pPr>
              <w:widowControl/>
              <w:jc w:val="center"/>
              <w:rPr>
                <w:rFonts w:hint="eastAsia" w:ascii="宋体" w:hAnsi="宋体" w:eastAsia="宋体" w:cs="Arial"/>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691"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政府性基金预算财政拨款</w:t>
            </w: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30</w:t>
            </w:r>
          </w:p>
        </w:tc>
        <w:tc>
          <w:tcPr>
            <w:tcW w:w="109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3407" w:type="dxa"/>
            <w:shd w:val="clear" w:color="auto" w:fill="auto"/>
            <w:noWrap/>
            <w:vAlign w:val="center"/>
          </w:tcPr>
          <w:p>
            <w:pPr>
              <w:widowControl/>
              <w:jc w:val="center"/>
              <w:rPr>
                <w:rFonts w:hint="eastAsia" w:ascii="宋体" w:hAnsi="宋体" w:eastAsia="宋体" w:cs="Arial"/>
                <w:color w:val="000000"/>
                <w:kern w:val="0"/>
                <w:sz w:val="22"/>
              </w:rPr>
            </w:pP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62</w:t>
            </w:r>
          </w:p>
        </w:tc>
        <w:tc>
          <w:tcPr>
            <w:tcW w:w="1247" w:type="dxa"/>
            <w:shd w:val="clear" w:color="auto" w:fill="auto"/>
            <w:noWrap/>
            <w:vAlign w:val="center"/>
          </w:tcPr>
          <w:p>
            <w:pPr>
              <w:widowControl/>
              <w:jc w:val="center"/>
              <w:rPr>
                <w:rFonts w:hint="eastAsia" w:ascii="宋体" w:hAnsi="宋体" w:eastAsia="宋体" w:cs="Arial"/>
                <w:color w:val="000000"/>
                <w:kern w:val="0"/>
                <w:sz w:val="22"/>
              </w:rPr>
            </w:pPr>
          </w:p>
        </w:tc>
        <w:tc>
          <w:tcPr>
            <w:tcW w:w="1248" w:type="dxa"/>
            <w:shd w:val="clear" w:color="auto" w:fill="auto"/>
            <w:noWrap/>
            <w:vAlign w:val="center"/>
          </w:tcPr>
          <w:p>
            <w:pPr>
              <w:widowControl/>
              <w:jc w:val="center"/>
              <w:rPr>
                <w:rFonts w:hint="eastAsia" w:ascii="宋体" w:hAnsi="宋体" w:eastAsia="宋体" w:cs="Arial"/>
                <w:color w:val="000000"/>
                <w:kern w:val="0"/>
                <w:sz w:val="22"/>
              </w:rPr>
            </w:pPr>
          </w:p>
        </w:tc>
        <w:tc>
          <w:tcPr>
            <w:tcW w:w="1248" w:type="dxa"/>
            <w:shd w:val="clear" w:color="auto" w:fill="auto"/>
            <w:noWrap/>
            <w:vAlign w:val="center"/>
          </w:tcPr>
          <w:p>
            <w:pPr>
              <w:widowControl/>
              <w:jc w:val="center"/>
              <w:rPr>
                <w:rFonts w:hint="eastAsia" w:ascii="宋体" w:hAnsi="宋体" w:eastAsia="宋体" w:cs="Arial"/>
                <w:color w:val="000000"/>
                <w:kern w:val="0"/>
                <w:sz w:val="22"/>
              </w:rPr>
            </w:pPr>
          </w:p>
        </w:tc>
        <w:tc>
          <w:tcPr>
            <w:tcW w:w="1828" w:type="dxa"/>
            <w:shd w:val="clear" w:color="auto" w:fill="auto"/>
            <w:noWrap/>
            <w:vAlign w:val="center"/>
          </w:tcPr>
          <w:p>
            <w:pPr>
              <w:widowControl/>
              <w:jc w:val="center"/>
              <w:rPr>
                <w:rFonts w:hint="eastAsia" w:ascii="宋体" w:hAnsi="宋体" w:eastAsia="宋体" w:cs="Arial"/>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691"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国有资本经营预算财政拨款</w:t>
            </w: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31</w:t>
            </w:r>
          </w:p>
        </w:tc>
        <w:tc>
          <w:tcPr>
            <w:tcW w:w="109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3407" w:type="dxa"/>
            <w:shd w:val="clear" w:color="auto" w:fill="auto"/>
            <w:noWrap/>
            <w:vAlign w:val="center"/>
          </w:tcPr>
          <w:p>
            <w:pPr>
              <w:widowControl/>
              <w:jc w:val="center"/>
              <w:rPr>
                <w:rFonts w:hint="eastAsia" w:ascii="宋体" w:hAnsi="宋体" w:eastAsia="宋体" w:cs="Arial"/>
                <w:color w:val="000000"/>
                <w:kern w:val="0"/>
                <w:sz w:val="22"/>
              </w:rPr>
            </w:pP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63</w:t>
            </w:r>
          </w:p>
        </w:tc>
        <w:tc>
          <w:tcPr>
            <w:tcW w:w="1247" w:type="dxa"/>
            <w:shd w:val="clear" w:color="auto" w:fill="auto"/>
            <w:noWrap/>
            <w:vAlign w:val="center"/>
          </w:tcPr>
          <w:p>
            <w:pPr>
              <w:widowControl/>
              <w:jc w:val="center"/>
              <w:rPr>
                <w:rFonts w:hint="eastAsia" w:ascii="宋体" w:hAnsi="宋体" w:eastAsia="宋体" w:cs="Arial"/>
                <w:color w:val="000000"/>
                <w:kern w:val="0"/>
                <w:sz w:val="22"/>
              </w:rPr>
            </w:pPr>
          </w:p>
        </w:tc>
        <w:tc>
          <w:tcPr>
            <w:tcW w:w="1248" w:type="dxa"/>
            <w:shd w:val="clear" w:color="auto" w:fill="auto"/>
            <w:noWrap/>
            <w:vAlign w:val="center"/>
          </w:tcPr>
          <w:p>
            <w:pPr>
              <w:widowControl/>
              <w:jc w:val="center"/>
              <w:rPr>
                <w:rFonts w:hint="eastAsia" w:ascii="宋体" w:hAnsi="宋体" w:eastAsia="宋体" w:cs="Arial"/>
                <w:color w:val="000000"/>
                <w:kern w:val="0"/>
                <w:sz w:val="22"/>
              </w:rPr>
            </w:pPr>
          </w:p>
        </w:tc>
        <w:tc>
          <w:tcPr>
            <w:tcW w:w="1248" w:type="dxa"/>
            <w:shd w:val="clear" w:color="auto" w:fill="auto"/>
            <w:noWrap/>
            <w:vAlign w:val="center"/>
          </w:tcPr>
          <w:p>
            <w:pPr>
              <w:widowControl/>
              <w:jc w:val="center"/>
              <w:rPr>
                <w:rFonts w:hint="eastAsia" w:ascii="宋体" w:hAnsi="宋体" w:eastAsia="宋体" w:cs="Arial"/>
                <w:color w:val="000000"/>
                <w:kern w:val="0"/>
                <w:sz w:val="22"/>
              </w:rPr>
            </w:pPr>
          </w:p>
        </w:tc>
        <w:tc>
          <w:tcPr>
            <w:tcW w:w="1828" w:type="dxa"/>
            <w:shd w:val="clear" w:color="auto" w:fill="auto"/>
            <w:noWrap/>
            <w:vAlign w:val="center"/>
          </w:tcPr>
          <w:p>
            <w:pPr>
              <w:widowControl/>
              <w:jc w:val="center"/>
              <w:rPr>
                <w:rFonts w:hint="eastAsia" w:ascii="宋体" w:hAnsi="宋体" w:eastAsia="宋体" w:cs="Arial"/>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691" w:type="dxa"/>
            <w:shd w:val="clear" w:color="auto" w:fill="auto"/>
            <w:noWrap/>
            <w:vAlign w:val="center"/>
          </w:tcPr>
          <w:p>
            <w:pPr>
              <w:widowControl/>
              <w:jc w:val="center"/>
              <w:rPr>
                <w:rFonts w:hint="eastAsia"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32</w:t>
            </w:r>
          </w:p>
        </w:tc>
        <w:tc>
          <w:tcPr>
            <w:tcW w:w="109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1,406.11</w:t>
            </w:r>
          </w:p>
        </w:tc>
        <w:tc>
          <w:tcPr>
            <w:tcW w:w="3407" w:type="dxa"/>
            <w:shd w:val="clear" w:color="auto" w:fill="auto"/>
            <w:noWrap/>
            <w:vAlign w:val="center"/>
          </w:tcPr>
          <w:p>
            <w:pPr>
              <w:widowControl/>
              <w:jc w:val="center"/>
              <w:rPr>
                <w:rFonts w:hint="eastAsia"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539"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64</w:t>
            </w:r>
          </w:p>
        </w:tc>
        <w:tc>
          <w:tcPr>
            <w:tcW w:w="1247"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1,406.11</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1,406.11</w:t>
            </w:r>
          </w:p>
        </w:tc>
        <w:tc>
          <w:tcPr>
            <w:tcW w:w="124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828" w:type="dxa"/>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left"/>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br w:type="page"/>
      </w:r>
    </w:p>
    <w:bookmarkEnd w:id="0"/>
    <w:tbl>
      <w:tblPr>
        <w:tblStyle w:val="6"/>
        <w:tblW w:w="12651" w:type="dxa"/>
        <w:jc w:val="center"/>
        <w:tblInd w:w="0" w:type="dxa"/>
        <w:tblLayout w:type="fixed"/>
        <w:tblCellMar>
          <w:top w:w="0" w:type="dxa"/>
          <w:left w:w="108" w:type="dxa"/>
          <w:bottom w:w="0" w:type="dxa"/>
          <w:right w:w="108" w:type="dxa"/>
        </w:tblCellMar>
      </w:tblPr>
      <w:tblGrid>
        <w:gridCol w:w="1349"/>
        <w:gridCol w:w="340"/>
        <w:gridCol w:w="340"/>
        <w:gridCol w:w="3940"/>
        <w:gridCol w:w="2260"/>
        <w:gridCol w:w="2260"/>
        <w:gridCol w:w="2162"/>
      </w:tblGrid>
      <w:tr>
        <w:tblPrEx>
          <w:tblLayout w:type="fixed"/>
          <w:tblCellMar>
            <w:top w:w="0" w:type="dxa"/>
            <w:left w:w="108" w:type="dxa"/>
            <w:bottom w:w="0" w:type="dxa"/>
            <w:right w:w="108" w:type="dxa"/>
          </w:tblCellMar>
        </w:tblPrEx>
        <w:trPr>
          <w:trHeight w:val="255" w:hRule="atLeast"/>
          <w:jc w:val="center"/>
        </w:trPr>
        <w:tc>
          <w:tcPr>
            <w:tcW w:w="12651" w:type="dxa"/>
            <w:gridSpan w:val="7"/>
            <w:tcBorders>
              <w:top w:val="nil"/>
              <w:left w:val="nil"/>
              <w:bottom w:val="nil"/>
              <w:right w:val="nil"/>
            </w:tcBorders>
            <w:shd w:val="clear" w:color="auto" w:fill="auto"/>
            <w:noWrap/>
            <w:vAlign w:val="bottom"/>
          </w:tcPr>
          <w:p>
            <w:pPr>
              <w:widowControl/>
              <w:jc w:val="center"/>
              <w:rPr>
                <w:rFonts w:hint="eastAsia" w:ascii="方正小标宋简体" w:hAnsi="宋体" w:eastAsia="方正小标宋简体" w:cs="Arial"/>
                <w:color w:val="000000"/>
                <w:kern w:val="0"/>
                <w:sz w:val="20"/>
                <w:szCs w:val="20"/>
              </w:rPr>
            </w:pPr>
            <w:r>
              <w:rPr>
                <w:rFonts w:ascii="Times New Roman" w:hAnsi="Times New Roman" w:eastAsia="仿宋_GB2312" w:cs="Times New Roman"/>
                <w:bCs/>
                <w:kern w:val="0"/>
                <w:szCs w:val="21"/>
              </w:rPr>
              <w:br w:type="page"/>
            </w:r>
            <w:r>
              <w:rPr>
                <w:rFonts w:hint="eastAsia" w:ascii="方正小标宋简体" w:hAnsi="宋体" w:eastAsia="方正小标宋简体" w:cs="Arial"/>
                <w:color w:val="000000"/>
                <w:kern w:val="0"/>
                <w:sz w:val="36"/>
                <w:szCs w:val="30"/>
              </w:rPr>
              <w:t>一般公共预算财政拨款支出决算表</w:t>
            </w:r>
          </w:p>
        </w:tc>
      </w:tr>
      <w:tr>
        <w:tblPrEx>
          <w:tblLayout w:type="fixed"/>
          <w:tblCellMar>
            <w:top w:w="0" w:type="dxa"/>
            <w:left w:w="108" w:type="dxa"/>
            <w:bottom w:w="0" w:type="dxa"/>
            <w:right w:w="108" w:type="dxa"/>
          </w:tblCellMar>
        </w:tblPrEx>
        <w:trPr>
          <w:trHeight w:val="255" w:hRule="atLeast"/>
          <w:jc w:val="center"/>
        </w:trPr>
        <w:tc>
          <w:tcPr>
            <w:tcW w:w="1349" w:type="dxa"/>
            <w:tcBorders>
              <w:top w:val="nil"/>
              <w:left w:val="nil"/>
              <w:bottom w:val="nil"/>
              <w:right w:val="nil"/>
            </w:tcBorders>
            <w:shd w:val="clear" w:color="auto" w:fill="auto"/>
            <w:noWrap/>
            <w:vAlign w:val="bottom"/>
          </w:tcPr>
          <w:p>
            <w:pPr>
              <w:widowControl/>
              <w:jc w:val="left"/>
              <w:rPr>
                <w:rFonts w:ascii="Times New Roman" w:hAnsi="Times New Roman" w:cs="Times New Roman"/>
                <w:kern w:val="0"/>
                <w:sz w:val="20"/>
                <w:szCs w:val="20"/>
              </w:rPr>
            </w:pPr>
          </w:p>
        </w:tc>
        <w:tc>
          <w:tcPr>
            <w:tcW w:w="340"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340"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3940"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2260"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2260"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2162" w:type="dxa"/>
            <w:tcBorders>
              <w:top w:val="nil"/>
              <w:left w:val="nil"/>
              <w:bottom w:val="nil"/>
              <w:right w:val="nil"/>
            </w:tcBorders>
            <w:shd w:val="clear" w:color="auto" w:fill="auto"/>
            <w:noWrap/>
            <w:vAlign w:val="bottom"/>
          </w:tcPr>
          <w:p>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公开05表</w:t>
            </w:r>
          </w:p>
        </w:tc>
      </w:tr>
      <w:tr>
        <w:tblPrEx>
          <w:tblLayout w:type="fixed"/>
          <w:tblCellMar>
            <w:top w:w="0" w:type="dxa"/>
            <w:left w:w="108" w:type="dxa"/>
            <w:bottom w:w="0" w:type="dxa"/>
            <w:right w:w="108" w:type="dxa"/>
          </w:tblCellMar>
        </w:tblPrEx>
        <w:trPr>
          <w:trHeight w:val="255" w:hRule="atLeast"/>
          <w:jc w:val="center"/>
        </w:trPr>
        <w:tc>
          <w:tcPr>
            <w:tcW w:w="5969" w:type="dxa"/>
            <w:gridSpan w:val="4"/>
            <w:tcBorders>
              <w:top w:val="nil"/>
              <w:left w:val="nil"/>
              <w:bottom w:val="nil"/>
              <w:right w:val="nil"/>
            </w:tcBorders>
            <w:shd w:val="clear" w:color="auto" w:fill="auto"/>
            <w:noWrap/>
            <w:vAlign w:val="bottom"/>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部门：岳阳市教育科学技术研究院</w:t>
            </w:r>
          </w:p>
        </w:tc>
        <w:tc>
          <w:tcPr>
            <w:tcW w:w="2260" w:type="dxa"/>
            <w:tcBorders>
              <w:top w:val="nil"/>
              <w:left w:val="nil"/>
              <w:bottom w:val="nil"/>
              <w:right w:val="nil"/>
            </w:tcBorders>
            <w:shd w:val="clear" w:color="auto" w:fill="auto"/>
            <w:noWrap/>
            <w:vAlign w:val="bottom"/>
          </w:tcPr>
          <w:p>
            <w:pPr>
              <w:widowControl/>
              <w:jc w:val="left"/>
              <w:rPr>
                <w:rFonts w:hint="eastAsia" w:ascii="宋体" w:hAnsi="宋体" w:eastAsia="宋体" w:cs="Arial"/>
                <w:color w:val="000000"/>
                <w:kern w:val="0"/>
                <w:sz w:val="20"/>
                <w:szCs w:val="20"/>
              </w:rPr>
            </w:pPr>
          </w:p>
        </w:tc>
        <w:tc>
          <w:tcPr>
            <w:tcW w:w="2260"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2162"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308" w:hRule="atLeast"/>
          <w:jc w:val="center"/>
        </w:trPr>
        <w:tc>
          <w:tcPr>
            <w:tcW w:w="5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项目</w:t>
            </w:r>
          </w:p>
        </w:tc>
        <w:tc>
          <w:tcPr>
            <w:tcW w:w="6682"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本年支出</w:t>
            </w:r>
          </w:p>
        </w:tc>
      </w:tr>
      <w:tr>
        <w:tblPrEx>
          <w:tblLayout w:type="fixed"/>
          <w:tblCellMar>
            <w:top w:w="0" w:type="dxa"/>
            <w:left w:w="108" w:type="dxa"/>
            <w:bottom w:w="0" w:type="dxa"/>
            <w:right w:w="108" w:type="dxa"/>
          </w:tblCellMar>
        </w:tblPrEx>
        <w:trPr>
          <w:trHeight w:val="312" w:hRule="atLeast"/>
          <w:jc w:val="center"/>
        </w:trPr>
        <w:tc>
          <w:tcPr>
            <w:tcW w:w="2029"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3940"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科目名称</w:t>
            </w:r>
          </w:p>
        </w:tc>
        <w:tc>
          <w:tcPr>
            <w:tcW w:w="22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小计</w:t>
            </w:r>
          </w:p>
        </w:tc>
        <w:tc>
          <w:tcPr>
            <w:tcW w:w="22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基本支出</w:t>
            </w:r>
          </w:p>
        </w:tc>
        <w:tc>
          <w:tcPr>
            <w:tcW w:w="216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项目支出</w:t>
            </w:r>
          </w:p>
        </w:tc>
      </w:tr>
      <w:tr>
        <w:tblPrEx>
          <w:tblLayout w:type="fixed"/>
          <w:tblCellMar>
            <w:top w:w="0" w:type="dxa"/>
            <w:left w:w="108" w:type="dxa"/>
            <w:bottom w:w="0" w:type="dxa"/>
            <w:right w:w="108" w:type="dxa"/>
          </w:tblCellMar>
        </w:tblPrEx>
        <w:trPr>
          <w:trHeight w:val="312" w:hRule="atLeast"/>
          <w:jc w:val="center"/>
        </w:trPr>
        <w:tc>
          <w:tcPr>
            <w:tcW w:w="2029"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p>
        </w:tc>
        <w:tc>
          <w:tcPr>
            <w:tcW w:w="3940" w:type="dxa"/>
            <w:vMerge w:val="continue"/>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p>
        </w:tc>
        <w:tc>
          <w:tcPr>
            <w:tcW w:w="2260" w:type="dxa"/>
            <w:vMerge w:val="continue"/>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p>
        </w:tc>
        <w:tc>
          <w:tcPr>
            <w:tcW w:w="2260" w:type="dxa"/>
            <w:vMerge w:val="continue"/>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p>
        </w:tc>
        <w:tc>
          <w:tcPr>
            <w:tcW w:w="2162" w:type="dxa"/>
            <w:vMerge w:val="continue"/>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12" w:hRule="atLeast"/>
          <w:jc w:val="center"/>
        </w:trPr>
        <w:tc>
          <w:tcPr>
            <w:tcW w:w="2029"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p>
        </w:tc>
        <w:tc>
          <w:tcPr>
            <w:tcW w:w="3940" w:type="dxa"/>
            <w:vMerge w:val="continue"/>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p>
        </w:tc>
        <w:tc>
          <w:tcPr>
            <w:tcW w:w="2260" w:type="dxa"/>
            <w:vMerge w:val="continue"/>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p>
        </w:tc>
        <w:tc>
          <w:tcPr>
            <w:tcW w:w="2260" w:type="dxa"/>
            <w:vMerge w:val="continue"/>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p>
        </w:tc>
        <w:tc>
          <w:tcPr>
            <w:tcW w:w="2162" w:type="dxa"/>
            <w:vMerge w:val="continue"/>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5969"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栏次</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w:t>
            </w:r>
          </w:p>
        </w:tc>
        <w:tc>
          <w:tcPr>
            <w:tcW w:w="2162"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w:t>
            </w:r>
          </w:p>
        </w:tc>
      </w:tr>
      <w:tr>
        <w:tblPrEx>
          <w:tblLayout w:type="fixed"/>
          <w:tblCellMar>
            <w:top w:w="0" w:type="dxa"/>
            <w:left w:w="108" w:type="dxa"/>
            <w:bottom w:w="0" w:type="dxa"/>
            <w:right w:w="108" w:type="dxa"/>
          </w:tblCellMar>
        </w:tblPrEx>
        <w:trPr>
          <w:trHeight w:val="308" w:hRule="atLeast"/>
          <w:jc w:val="center"/>
        </w:trPr>
        <w:tc>
          <w:tcPr>
            <w:tcW w:w="5969"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合计</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b/>
                <w:bCs/>
                <w:color w:val="000000"/>
                <w:kern w:val="0"/>
                <w:sz w:val="22"/>
              </w:rPr>
            </w:pPr>
            <w:r>
              <w:rPr>
                <w:rFonts w:hint="eastAsia" w:ascii="宋体" w:hAnsi="宋体" w:eastAsia="宋体" w:cs="Arial"/>
                <w:b/>
                <w:bCs/>
                <w:color w:val="000000"/>
                <w:kern w:val="0"/>
                <w:sz w:val="22"/>
              </w:rPr>
              <w:t>1,284.97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b/>
                <w:bCs/>
                <w:color w:val="000000"/>
                <w:kern w:val="0"/>
                <w:sz w:val="22"/>
              </w:rPr>
            </w:pPr>
            <w:r>
              <w:rPr>
                <w:rFonts w:hint="eastAsia" w:ascii="宋体" w:hAnsi="宋体" w:eastAsia="宋体" w:cs="Arial"/>
                <w:b/>
                <w:bCs/>
                <w:color w:val="000000"/>
                <w:kern w:val="0"/>
                <w:sz w:val="22"/>
              </w:rPr>
              <w:t>926.97</w:t>
            </w:r>
          </w:p>
        </w:tc>
        <w:tc>
          <w:tcPr>
            <w:tcW w:w="2162"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b/>
                <w:bCs/>
                <w:color w:val="000000"/>
                <w:kern w:val="0"/>
                <w:sz w:val="22"/>
              </w:rPr>
            </w:pPr>
            <w:r>
              <w:rPr>
                <w:rFonts w:hint="eastAsia" w:ascii="宋体" w:hAnsi="宋体" w:eastAsia="宋体" w:cs="Arial"/>
                <w:b/>
                <w:bCs/>
                <w:color w:val="000000"/>
                <w:kern w:val="0"/>
                <w:sz w:val="22"/>
              </w:rPr>
              <w:t>358.00</w:t>
            </w:r>
          </w:p>
        </w:tc>
      </w:tr>
      <w:tr>
        <w:tblPrEx>
          <w:tblLayout w:type="fixed"/>
          <w:tblCellMar>
            <w:top w:w="0" w:type="dxa"/>
            <w:left w:w="108" w:type="dxa"/>
            <w:bottom w:w="0" w:type="dxa"/>
            <w:right w:w="108" w:type="dxa"/>
          </w:tblCellMar>
        </w:tblPrEx>
        <w:trPr>
          <w:trHeight w:val="308" w:hRule="atLeast"/>
          <w:jc w:val="center"/>
        </w:trPr>
        <w:tc>
          <w:tcPr>
            <w:tcW w:w="202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205</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教育支出</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1,138.64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780.64</w:t>
            </w:r>
          </w:p>
        </w:tc>
        <w:tc>
          <w:tcPr>
            <w:tcW w:w="2162"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358.00</w:t>
            </w:r>
          </w:p>
        </w:tc>
      </w:tr>
      <w:tr>
        <w:tblPrEx>
          <w:tblLayout w:type="fixed"/>
          <w:tblCellMar>
            <w:top w:w="0" w:type="dxa"/>
            <w:left w:w="108" w:type="dxa"/>
            <w:bottom w:w="0" w:type="dxa"/>
            <w:right w:w="108" w:type="dxa"/>
          </w:tblCellMar>
        </w:tblPrEx>
        <w:trPr>
          <w:trHeight w:val="308" w:hRule="atLeast"/>
          <w:jc w:val="center"/>
        </w:trPr>
        <w:tc>
          <w:tcPr>
            <w:tcW w:w="202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20501</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教育管理事务</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249.31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249.31</w:t>
            </w:r>
          </w:p>
        </w:tc>
        <w:tc>
          <w:tcPr>
            <w:tcW w:w="2162"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8" w:hRule="atLeast"/>
          <w:jc w:val="center"/>
        </w:trPr>
        <w:tc>
          <w:tcPr>
            <w:tcW w:w="202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2050199</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其他教育管理事务支出</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249.31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249.31</w:t>
            </w:r>
          </w:p>
        </w:tc>
        <w:tc>
          <w:tcPr>
            <w:tcW w:w="2162"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8" w:hRule="atLeast"/>
          <w:jc w:val="center"/>
        </w:trPr>
        <w:tc>
          <w:tcPr>
            <w:tcW w:w="202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20502</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普通教育</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228.00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228.00</w:t>
            </w:r>
          </w:p>
        </w:tc>
        <w:tc>
          <w:tcPr>
            <w:tcW w:w="2162"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8" w:hRule="atLeast"/>
          <w:jc w:val="center"/>
        </w:trPr>
        <w:tc>
          <w:tcPr>
            <w:tcW w:w="202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2050299</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其他普通教育支出</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228.00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228.00</w:t>
            </w:r>
          </w:p>
        </w:tc>
        <w:tc>
          <w:tcPr>
            <w:tcW w:w="2162"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8" w:hRule="atLeast"/>
          <w:jc w:val="center"/>
        </w:trPr>
        <w:tc>
          <w:tcPr>
            <w:tcW w:w="202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20509</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教育费附加安排的支出</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661.33</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303.33</w:t>
            </w:r>
          </w:p>
        </w:tc>
        <w:tc>
          <w:tcPr>
            <w:tcW w:w="2162"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358.00</w:t>
            </w:r>
          </w:p>
        </w:tc>
      </w:tr>
      <w:tr>
        <w:tblPrEx>
          <w:tblLayout w:type="fixed"/>
          <w:tblCellMar>
            <w:top w:w="0" w:type="dxa"/>
            <w:left w:w="108" w:type="dxa"/>
            <w:bottom w:w="0" w:type="dxa"/>
            <w:right w:w="108" w:type="dxa"/>
          </w:tblCellMar>
        </w:tblPrEx>
        <w:trPr>
          <w:trHeight w:val="308" w:hRule="atLeast"/>
          <w:jc w:val="center"/>
        </w:trPr>
        <w:tc>
          <w:tcPr>
            <w:tcW w:w="202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2050999</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其他教育费附加安排的支出</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661.33</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303.33</w:t>
            </w:r>
          </w:p>
        </w:tc>
        <w:tc>
          <w:tcPr>
            <w:tcW w:w="2162"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358.00</w:t>
            </w:r>
          </w:p>
        </w:tc>
      </w:tr>
      <w:tr>
        <w:tblPrEx>
          <w:tblLayout w:type="fixed"/>
          <w:tblCellMar>
            <w:top w:w="0" w:type="dxa"/>
            <w:left w:w="108" w:type="dxa"/>
            <w:bottom w:w="0" w:type="dxa"/>
            <w:right w:w="108" w:type="dxa"/>
          </w:tblCellMar>
        </w:tblPrEx>
        <w:trPr>
          <w:trHeight w:val="308" w:hRule="atLeast"/>
          <w:jc w:val="center"/>
        </w:trPr>
        <w:tc>
          <w:tcPr>
            <w:tcW w:w="202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208</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75.49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75.49</w:t>
            </w:r>
          </w:p>
        </w:tc>
        <w:tc>
          <w:tcPr>
            <w:tcW w:w="2162"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8" w:hRule="atLeast"/>
          <w:jc w:val="center"/>
        </w:trPr>
        <w:tc>
          <w:tcPr>
            <w:tcW w:w="202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20805</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行政事业单位养老支出</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58.37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58.37</w:t>
            </w:r>
          </w:p>
        </w:tc>
        <w:tc>
          <w:tcPr>
            <w:tcW w:w="2162"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8" w:hRule="atLeast"/>
          <w:jc w:val="center"/>
        </w:trPr>
        <w:tc>
          <w:tcPr>
            <w:tcW w:w="202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2080505</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机关事业单位基本养老保险缴费支出</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58.37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58.37</w:t>
            </w:r>
          </w:p>
        </w:tc>
        <w:tc>
          <w:tcPr>
            <w:tcW w:w="2162"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8" w:hRule="atLeast"/>
          <w:jc w:val="center"/>
        </w:trPr>
        <w:tc>
          <w:tcPr>
            <w:tcW w:w="202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20808</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抚恤</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10.79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10.79</w:t>
            </w:r>
          </w:p>
        </w:tc>
        <w:tc>
          <w:tcPr>
            <w:tcW w:w="2162"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8" w:hRule="atLeast"/>
          <w:jc w:val="center"/>
        </w:trPr>
        <w:tc>
          <w:tcPr>
            <w:tcW w:w="202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2080899</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其他优抚支出</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10.79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10.79</w:t>
            </w:r>
          </w:p>
        </w:tc>
        <w:tc>
          <w:tcPr>
            <w:tcW w:w="2162"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8" w:hRule="atLeast"/>
          <w:jc w:val="center"/>
        </w:trPr>
        <w:tc>
          <w:tcPr>
            <w:tcW w:w="202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20811</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残疾人事业</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3.38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3.38</w:t>
            </w:r>
          </w:p>
        </w:tc>
        <w:tc>
          <w:tcPr>
            <w:tcW w:w="2162"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8" w:hRule="atLeast"/>
          <w:jc w:val="center"/>
        </w:trPr>
        <w:tc>
          <w:tcPr>
            <w:tcW w:w="202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2081199</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其他残疾人事业支出</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3.38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3.38</w:t>
            </w:r>
          </w:p>
        </w:tc>
        <w:tc>
          <w:tcPr>
            <w:tcW w:w="2162"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8" w:hRule="atLeast"/>
          <w:jc w:val="center"/>
        </w:trPr>
        <w:tc>
          <w:tcPr>
            <w:tcW w:w="202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20827</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财政对其他社会保险基金的补助</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2.95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2.95</w:t>
            </w:r>
          </w:p>
        </w:tc>
        <w:tc>
          <w:tcPr>
            <w:tcW w:w="2162"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8" w:hRule="atLeast"/>
          <w:jc w:val="center"/>
        </w:trPr>
        <w:tc>
          <w:tcPr>
            <w:tcW w:w="202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2082702</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财政对工伤保险基金的补助</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2.95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2.95</w:t>
            </w:r>
          </w:p>
        </w:tc>
        <w:tc>
          <w:tcPr>
            <w:tcW w:w="2162"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8" w:hRule="atLeast"/>
          <w:jc w:val="center"/>
        </w:trPr>
        <w:tc>
          <w:tcPr>
            <w:tcW w:w="202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210</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27.06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27.06</w:t>
            </w:r>
          </w:p>
        </w:tc>
        <w:tc>
          <w:tcPr>
            <w:tcW w:w="2162"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8" w:hRule="atLeast"/>
          <w:jc w:val="center"/>
        </w:trPr>
        <w:tc>
          <w:tcPr>
            <w:tcW w:w="202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21011</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27.06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27.06</w:t>
            </w:r>
          </w:p>
        </w:tc>
        <w:tc>
          <w:tcPr>
            <w:tcW w:w="2162"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8" w:hRule="atLeast"/>
          <w:jc w:val="center"/>
        </w:trPr>
        <w:tc>
          <w:tcPr>
            <w:tcW w:w="202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2101102</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事业单位医疗</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27.06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27.06</w:t>
            </w:r>
          </w:p>
        </w:tc>
        <w:tc>
          <w:tcPr>
            <w:tcW w:w="2162"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8" w:hRule="atLeast"/>
          <w:jc w:val="center"/>
        </w:trPr>
        <w:tc>
          <w:tcPr>
            <w:tcW w:w="202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221</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43.78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43.78</w:t>
            </w:r>
          </w:p>
        </w:tc>
        <w:tc>
          <w:tcPr>
            <w:tcW w:w="2162"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8" w:hRule="atLeast"/>
          <w:jc w:val="center"/>
        </w:trPr>
        <w:tc>
          <w:tcPr>
            <w:tcW w:w="202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22102</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43.78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43.78</w:t>
            </w:r>
          </w:p>
        </w:tc>
        <w:tc>
          <w:tcPr>
            <w:tcW w:w="2162"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8" w:hRule="atLeast"/>
          <w:jc w:val="center"/>
        </w:trPr>
        <w:tc>
          <w:tcPr>
            <w:tcW w:w="202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2210201</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住房公积金</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43.78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43.78</w:t>
            </w:r>
          </w:p>
        </w:tc>
        <w:tc>
          <w:tcPr>
            <w:tcW w:w="2162"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8" w:hRule="atLeast"/>
          <w:jc w:val="center"/>
        </w:trPr>
        <w:tc>
          <w:tcPr>
            <w:tcW w:w="12651" w:type="dxa"/>
            <w:gridSpan w:val="7"/>
            <w:tcBorders>
              <w:top w:val="nil"/>
              <w:left w:val="nil"/>
              <w:bottom w:val="nil"/>
              <w:right w:val="nil"/>
            </w:tcBorders>
            <w:shd w:val="clear" w:color="auto" w:fill="auto"/>
            <w:noWrap/>
            <w:vAlign w:val="center"/>
          </w:tcPr>
          <w:p>
            <w:pPr>
              <w:widowControl/>
              <w:jc w:val="center"/>
              <w:rPr>
                <w:rFonts w:hint="eastAsia" w:ascii="宋体" w:hAnsi="宋体" w:eastAsia="宋体" w:cs="Arial"/>
                <w:color w:val="000000"/>
                <w:kern w:val="0"/>
                <w:sz w:val="22"/>
              </w:rPr>
            </w:pPr>
          </w:p>
        </w:tc>
      </w:tr>
    </w:tbl>
    <w:p>
      <w:pPr>
        <w:widowControl/>
        <w:jc w:val="center"/>
        <w:rPr>
          <w:rFonts w:ascii="Times New Roman" w:hAnsi="Times New Roman" w:eastAsia="仿宋_GB2312" w:cs="Times New Roman"/>
          <w:bCs/>
          <w:kern w:val="0"/>
          <w:szCs w:val="21"/>
        </w:rPr>
      </w:pPr>
    </w:p>
    <w:tbl>
      <w:tblPr>
        <w:tblStyle w:val="6"/>
        <w:tblW w:w="13983" w:type="dxa"/>
        <w:jc w:val="center"/>
        <w:tblInd w:w="0" w:type="dxa"/>
        <w:tblLayout w:type="fixed"/>
        <w:tblCellMar>
          <w:top w:w="0" w:type="dxa"/>
          <w:left w:w="108" w:type="dxa"/>
          <w:bottom w:w="0" w:type="dxa"/>
          <w:right w:w="108" w:type="dxa"/>
        </w:tblCellMar>
      </w:tblPr>
      <w:tblGrid>
        <w:gridCol w:w="991"/>
        <w:gridCol w:w="2563"/>
        <w:gridCol w:w="1095"/>
        <w:gridCol w:w="1093"/>
        <w:gridCol w:w="2205"/>
        <w:gridCol w:w="956"/>
        <w:gridCol w:w="956"/>
        <w:gridCol w:w="2696"/>
        <w:gridCol w:w="1428"/>
      </w:tblGrid>
      <w:tr>
        <w:tblPrEx>
          <w:tblLayout w:type="fixed"/>
          <w:tblCellMar>
            <w:top w:w="0" w:type="dxa"/>
            <w:left w:w="108" w:type="dxa"/>
            <w:bottom w:w="0" w:type="dxa"/>
            <w:right w:w="108" w:type="dxa"/>
          </w:tblCellMar>
        </w:tblPrEx>
        <w:trPr>
          <w:trHeight w:val="382" w:hRule="atLeast"/>
          <w:jc w:val="center"/>
        </w:trPr>
        <w:tc>
          <w:tcPr>
            <w:tcW w:w="13983" w:type="dxa"/>
            <w:gridSpan w:val="9"/>
            <w:tcBorders>
              <w:top w:val="nil"/>
              <w:left w:val="nil"/>
              <w:bottom w:val="nil"/>
            </w:tcBorders>
            <w:shd w:val="clear" w:color="auto" w:fill="auto"/>
            <w:noWrap/>
            <w:vAlign w:val="bottom"/>
          </w:tcPr>
          <w:p>
            <w:pPr>
              <w:widowControl/>
              <w:jc w:val="center"/>
              <w:rPr>
                <w:rFonts w:hint="eastAsia" w:ascii="方正小标宋简体" w:hAnsi="宋体" w:eastAsia="方正小标宋简体" w:cs="Arial"/>
                <w:color w:val="000000"/>
                <w:kern w:val="0"/>
                <w:sz w:val="18"/>
                <w:szCs w:val="18"/>
              </w:rPr>
            </w:pPr>
            <w:r>
              <w:rPr>
                <w:rFonts w:ascii="Times New Roman" w:hAnsi="Times New Roman" w:eastAsia="仿宋_GB2312" w:cs="Times New Roman"/>
                <w:bCs/>
                <w:kern w:val="0"/>
                <w:szCs w:val="21"/>
              </w:rPr>
              <w:br w:type="page"/>
            </w:r>
            <w:r>
              <w:rPr>
                <w:rFonts w:hint="eastAsia" w:ascii="方正小标宋简体" w:hAnsi="宋体" w:eastAsia="方正小标宋简体" w:cs="Arial"/>
                <w:color w:val="000000"/>
                <w:kern w:val="0"/>
                <w:sz w:val="36"/>
                <w:szCs w:val="30"/>
              </w:rPr>
              <w:t>一般公共预算财政拨款基本支出决算表</w:t>
            </w:r>
          </w:p>
        </w:tc>
      </w:tr>
      <w:tr>
        <w:tblPrEx>
          <w:tblLayout w:type="fixed"/>
          <w:tblCellMar>
            <w:top w:w="0" w:type="dxa"/>
            <w:left w:w="108" w:type="dxa"/>
            <w:bottom w:w="0" w:type="dxa"/>
            <w:right w:w="108" w:type="dxa"/>
          </w:tblCellMar>
        </w:tblPrEx>
        <w:trPr>
          <w:trHeight w:val="382" w:hRule="atLeast"/>
          <w:jc w:val="center"/>
        </w:trPr>
        <w:tc>
          <w:tcPr>
            <w:tcW w:w="991"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2563"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095"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093"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2205"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956"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956"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2696"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428" w:type="dxa"/>
            <w:tcBorders>
              <w:top w:val="nil"/>
              <w:left w:val="nil"/>
              <w:bottom w:val="nil"/>
              <w:right w:val="nil"/>
            </w:tcBorders>
            <w:shd w:val="clear" w:color="auto" w:fill="auto"/>
            <w:noWrap/>
            <w:vAlign w:val="bottom"/>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公开06表</w:t>
            </w:r>
          </w:p>
        </w:tc>
      </w:tr>
      <w:tr>
        <w:tblPrEx>
          <w:tblLayout w:type="fixed"/>
          <w:tblCellMar>
            <w:top w:w="0" w:type="dxa"/>
            <w:left w:w="108" w:type="dxa"/>
            <w:bottom w:w="0" w:type="dxa"/>
            <w:right w:w="108" w:type="dxa"/>
          </w:tblCellMar>
        </w:tblPrEx>
        <w:trPr>
          <w:trHeight w:val="382" w:hRule="atLeast"/>
          <w:jc w:val="center"/>
        </w:trPr>
        <w:tc>
          <w:tcPr>
            <w:tcW w:w="3554" w:type="dxa"/>
            <w:gridSpan w:val="2"/>
            <w:tcBorders>
              <w:top w:val="nil"/>
              <w:left w:val="nil"/>
              <w:bottom w:val="nil"/>
              <w:right w:val="nil"/>
            </w:tcBorders>
            <w:shd w:val="clear" w:color="auto" w:fill="auto"/>
            <w:noWrap/>
            <w:vAlign w:val="bottom"/>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部门：岳阳市教育科学技术研究院</w:t>
            </w:r>
          </w:p>
        </w:tc>
        <w:tc>
          <w:tcPr>
            <w:tcW w:w="1095" w:type="dxa"/>
            <w:tcBorders>
              <w:top w:val="nil"/>
              <w:left w:val="nil"/>
              <w:bottom w:val="nil"/>
              <w:right w:val="nil"/>
            </w:tcBorders>
            <w:shd w:val="clear" w:color="auto" w:fill="auto"/>
            <w:noWrap/>
            <w:vAlign w:val="bottom"/>
          </w:tcPr>
          <w:p>
            <w:pPr>
              <w:widowControl/>
              <w:jc w:val="left"/>
              <w:rPr>
                <w:rFonts w:hint="eastAsia" w:ascii="宋体" w:hAnsi="宋体" w:eastAsia="宋体" w:cs="Arial"/>
                <w:color w:val="000000"/>
                <w:kern w:val="0"/>
                <w:sz w:val="20"/>
                <w:szCs w:val="20"/>
              </w:rPr>
            </w:pPr>
          </w:p>
        </w:tc>
        <w:tc>
          <w:tcPr>
            <w:tcW w:w="1093"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2205"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956"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956"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2696"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428"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金额单位：万元</w:t>
            </w:r>
          </w:p>
        </w:tc>
      </w:tr>
      <w:tr>
        <w:tblPrEx>
          <w:tblLayout w:type="fixed"/>
          <w:tblCellMar>
            <w:top w:w="0" w:type="dxa"/>
            <w:left w:w="108" w:type="dxa"/>
            <w:bottom w:w="0" w:type="dxa"/>
            <w:right w:w="108" w:type="dxa"/>
          </w:tblCellMar>
        </w:tblPrEx>
        <w:trPr>
          <w:trHeight w:val="462" w:hRule="atLeast"/>
          <w:jc w:val="center"/>
        </w:trPr>
        <w:tc>
          <w:tcPr>
            <w:tcW w:w="46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人员经费</w:t>
            </w:r>
          </w:p>
        </w:tc>
        <w:tc>
          <w:tcPr>
            <w:tcW w:w="9334" w:type="dxa"/>
            <w:gridSpan w:val="6"/>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公用经费</w:t>
            </w:r>
          </w:p>
        </w:tc>
      </w:tr>
      <w:tr>
        <w:tblPrEx>
          <w:tblLayout w:type="fixed"/>
          <w:tblCellMar>
            <w:top w:w="0" w:type="dxa"/>
            <w:left w:w="108" w:type="dxa"/>
            <w:bottom w:w="0" w:type="dxa"/>
            <w:right w:w="108" w:type="dxa"/>
          </w:tblCellMar>
        </w:tblPrEx>
        <w:trPr>
          <w:trHeight w:val="468" w:hRule="atLeast"/>
          <w:jc w:val="center"/>
        </w:trPr>
        <w:tc>
          <w:tcPr>
            <w:tcW w:w="99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科目编码</w:t>
            </w:r>
          </w:p>
        </w:tc>
        <w:tc>
          <w:tcPr>
            <w:tcW w:w="256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科目名称</w:t>
            </w:r>
          </w:p>
        </w:tc>
        <w:tc>
          <w:tcPr>
            <w:tcW w:w="109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决算数</w:t>
            </w:r>
          </w:p>
        </w:tc>
        <w:tc>
          <w:tcPr>
            <w:tcW w:w="109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科目编码</w:t>
            </w:r>
          </w:p>
        </w:tc>
        <w:tc>
          <w:tcPr>
            <w:tcW w:w="220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科目名称</w:t>
            </w:r>
          </w:p>
        </w:tc>
        <w:tc>
          <w:tcPr>
            <w:tcW w:w="95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决算数</w:t>
            </w:r>
          </w:p>
        </w:tc>
        <w:tc>
          <w:tcPr>
            <w:tcW w:w="95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科目编码</w:t>
            </w:r>
          </w:p>
        </w:tc>
        <w:tc>
          <w:tcPr>
            <w:tcW w:w="269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科目名称</w:t>
            </w:r>
          </w:p>
        </w:tc>
        <w:tc>
          <w:tcPr>
            <w:tcW w:w="142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决算数</w:t>
            </w:r>
          </w:p>
        </w:tc>
      </w:tr>
      <w:tr>
        <w:tblPrEx>
          <w:tblLayout w:type="fixed"/>
          <w:tblCellMar>
            <w:top w:w="0" w:type="dxa"/>
            <w:left w:w="108" w:type="dxa"/>
            <w:bottom w:w="0" w:type="dxa"/>
            <w:right w:w="108" w:type="dxa"/>
          </w:tblCellMar>
        </w:tblPrEx>
        <w:trPr>
          <w:trHeight w:val="468" w:hRule="atLeast"/>
          <w:jc w:val="center"/>
        </w:trPr>
        <w:tc>
          <w:tcPr>
            <w:tcW w:w="991"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2563"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09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093"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220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95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95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269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428"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462" w:hRule="atLeast"/>
          <w:jc w:val="center"/>
        </w:trPr>
        <w:tc>
          <w:tcPr>
            <w:tcW w:w="9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301</w:t>
            </w:r>
          </w:p>
        </w:tc>
        <w:tc>
          <w:tcPr>
            <w:tcW w:w="256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工资福利支出</w:t>
            </w:r>
          </w:p>
        </w:tc>
        <w:tc>
          <w:tcPr>
            <w:tcW w:w="1095"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628.90</w:t>
            </w:r>
          </w:p>
        </w:tc>
        <w:tc>
          <w:tcPr>
            <w:tcW w:w="109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302</w:t>
            </w:r>
          </w:p>
        </w:tc>
        <w:tc>
          <w:tcPr>
            <w:tcW w:w="2205"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商品和服务支出</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158.43</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307</w:t>
            </w:r>
          </w:p>
        </w:tc>
        <w:tc>
          <w:tcPr>
            <w:tcW w:w="269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债务利息及费用支出</w:t>
            </w:r>
          </w:p>
        </w:tc>
        <w:tc>
          <w:tcPr>
            <w:tcW w:w="1428"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462" w:hRule="atLeast"/>
          <w:jc w:val="center"/>
        </w:trPr>
        <w:tc>
          <w:tcPr>
            <w:tcW w:w="9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30101</w:t>
            </w:r>
          </w:p>
        </w:tc>
        <w:tc>
          <w:tcPr>
            <w:tcW w:w="256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基本工资</w:t>
            </w:r>
          </w:p>
        </w:tc>
        <w:tc>
          <w:tcPr>
            <w:tcW w:w="1095"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236.77</w:t>
            </w:r>
          </w:p>
        </w:tc>
        <w:tc>
          <w:tcPr>
            <w:tcW w:w="109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30201</w:t>
            </w:r>
          </w:p>
        </w:tc>
        <w:tc>
          <w:tcPr>
            <w:tcW w:w="2205"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办公费</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0.57</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30701</w:t>
            </w:r>
          </w:p>
        </w:tc>
        <w:tc>
          <w:tcPr>
            <w:tcW w:w="269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国内债务付息</w:t>
            </w:r>
          </w:p>
        </w:tc>
        <w:tc>
          <w:tcPr>
            <w:tcW w:w="1428"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462" w:hRule="atLeast"/>
          <w:jc w:val="center"/>
        </w:trPr>
        <w:tc>
          <w:tcPr>
            <w:tcW w:w="9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30102</w:t>
            </w:r>
          </w:p>
        </w:tc>
        <w:tc>
          <w:tcPr>
            <w:tcW w:w="256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津贴补贴</w:t>
            </w:r>
          </w:p>
        </w:tc>
        <w:tc>
          <w:tcPr>
            <w:tcW w:w="1095"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09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30202</w:t>
            </w:r>
          </w:p>
        </w:tc>
        <w:tc>
          <w:tcPr>
            <w:tcW w:w="2205"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印刷费</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5.72</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30702</w:t>
            </w:r>
          </w:p>
        </w:tc>
        <w:tc>
          <w:tcPr>
            <w:tcW w:w="269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国外债务付息</w:t>
            </w:r>
          </w:p>
        </w:tc>
        <w:tc>
          <w:tcPr>
            <w:tcW w:w="1428"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462" w:hRule="atLeast"/>
          <w:jc w:val="center"/>
        </w:trPr>
        <w:tc>
          <w:tcPr>
            <w:tcW w:w="9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30103</w:t>
            </w:r>
          </w:p>
        </w:tc>
        <w:tc>
          <w:tcPr>
            <w:tcW w:w="256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奖金</w:t>
            </w:r>
          </w:p>
        </w:tc>
        <w:tc>
          <w:tcPr>
            <w:tcW w:w="1095"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09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30203</w:t>
            </w:r>
          </w:p>
        </w:tc>
        <w:tc>
          <w:tcPr>
            <w:tcW w:w="2205"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咨询费</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310</w:t>
            </w:r>
          </w:p>
        </w:tc>
        <w:tc>
          <w:tcPr>
            <w:tcW w:w="269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资本性支出</w:t>
            </w:r>
          </w:p>
        </w:tc>
        <w:tc>
          <w:tcPr>
            <w:tcW w:w="1428"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462" w:hRule="atLeast"/>
          <w:jc w:val="center"/>
        </w:trPr>
        <w:tc>
          <w:tcPr>
            <w:tcW w:w="9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30106</w:t>
            </w:r>
          </w:p>
        </w:tc>
        <w:tc>
          <w:tcPr>
            <w:tcW w:w="256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伙食补助费</w:t>
            </w:r>
          </w:p>
        </w:tc>
        <w:tc>
          <w:tcPr>
            <w:tcW w:w="1095"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13.20</w:t>
            </w:r>
          </w:p>
        </w:tc>
        <w:tc>
          <w:tcPr>
            <w:tcW w:w="109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30204</w:t>
            </w:r>
          </w:p>
        </w:tc>
        <w:tc>
          <w:tcPr>
            <w:tcW w:w="2205"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手续费</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4.30</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31001</w:t>
            </w:r>
          </w:p>
        </w:tc>
        <w:tc>
          <w:tcPr>
            <w:tcW w:w="269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房屋建筑物购建</w:t>
            </w:r>
          </w:p>
        </w:tc>
        <w:tc>
          <w:tcPr>
            <w:tcW w:w="1428"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462" w:hRule="atLeast"/>
          <w:jc w:val="center"/>
        </w:trPr>
        <w:tc>
          <w:tcPr>
            <w:tcW w:w="9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30107</w:t>
            </w:r>
          </w:p>
        </w:tc>
        <w:tc>
          <w:tcPr>
            <w:tcW w:w="256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绩效工资</w:t>
            </w:r>
          </w:p>
        </w:tc>
        <w:tc>
          <w:tcPr>
            <w:tcW w:w="1095"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159.54</w:t>
            </w:r>
          </w:p>
        </w:tc>
        <w:tc>
          <w:tcPr>
            <w:tcW w:w="109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30205</w:t>
            </w:r>
          </w:p>
        </w:tc>
        <w:tc>
          <w:tcPr>
            <w:tcW w:w="2205"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水费</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31002</w:t>
            </w:r>
          </w:p>
        </w:tc>
        <w:tc>
          <w:tcPr>
            <w:tcW w:w="269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办公设备购置</w:t>
            </w:r>
          </w:p>
        </w:tc>
        <w:tc>
          <w:tcPr>
            <w:tcW w:w="1428"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462" w:hRule="atLeast"/>
          <w:jc w:val="center"/>
        </w:trPr>
        <w:tc>
          <w:tcPr>
            <w:tcW w:w="9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30108</w:t>
            </w:r>
          </w:p>
        </w:tc>
        <w:tc>
          <w:tcPr>
            <w:tcW w:w="256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w:t>
            </w:r>
          </w:p>
        </w:tc>
        <w:tc>
          <w:tcPr>
            <w:tcW w:w="1095"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58.37</w:t>
            </w:r>
          </w:p>
        </w:tc>
        <w:tc>
          <w:tcPr>
            <w:tcW w:w="109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30206</w:t>
            </w:r>
          </w:p>
        </w:tc>
        <w:tc>
          <w:tcPr>
            <w:tcW w:w="2205"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电费</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31003</w:t>
            </w:r>
          </w:p>
        </w:tc>
        <w:tc>
          <w:tcPr>
            <w:tcW w:w="269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专用设备购置</w:t>
            </w:r>
            <w:r>
              <w:rPr>
                <w:rFonts w:ascii="宋体" w:hAnsi="宋体" w:eastAsia="宋体" w:cs="Arial"/>
                <w:color w:val="000000"/>
                <w:kern w:val="0"/>
                <w:sz w:val="30"/>
                <w:szCs w:val="30"/>
              </w:rPr>
              <w:t xml:space="preserve"> </w:t>
            </w:r>
          </w:p>
        </w:tc>
        <w:tc>
          <w:tcPr>
            <w:tcW w:w="1428"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462" w:hRule="atLeast"/>
          <w:jc w:val="center"/>
        </w:trPr>
        <w:tc>
          <w:tcPr>
            <w:tcW w:w="9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30109</w:t>
            </w:r>
          </w:p>
        </w:tc>
        <w:tc>
          <w:tcPr>
            <w:tcW w:w="256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职业年金缴费</w:t>
            </w:r>
          </w:p>
        </w:tc>
        <w:tc>
          <w:tcPr>
            <w:tcW w:w="1095"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3.40</w:t>
            </w:r>
          </w:p>
        </w:tc>
        <w:tc>
          <w:tcPr>
            <w:tcW w:w="109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30207</w:t>
            </w:r>
          </w:p>
        </w:tc>
        <w:tc>
          <w:tcPr>
            <w:tcW w:w="2205"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邮电费</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0.18</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31005</w:t>
            </w:r>
          </w:p>
        </w:tc>
        <w:tc>
          <w:tcPr>
            <w:tcW w:w="269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基础设施建设</w:t>
            </w:r>
          </w:p>
        </w:tc>
        <w:tc>
          <w:tcPr>
            <w:tcW w:w="1428"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462" w:hRule="atLeast"/>
          <w:jc w:val="center"/>
        </w:trPr>
        <w:tc>
          <w:tcPr>
            <w:tcW w:w="9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30110</w:t>
            </w:r>
          </w:p>
        </w:tc>
        <w:tc>
          <w:tcPr>
            <w:tcW w:w="256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职工基本医疗保险缴费</w:t>
            </w:r>
          </w:p>
        </w:tc>
        <w:tc>
          <w:tcPr>
            <w:tcW w:w="1095"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39.44</w:t>
            </w:r>
          </w:p>
        </w:tc>
        <w:tc>
          <w:tcPr>
            <w:tcW w:w="109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30208</w:t>
            </w:r>
          </w:p>
        </w:tc>
        <w:tc>
          <w:tcPr>
            <w:tcW w:w="2205"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取暖费</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31006</w:t>
            </w:r>
          </w:p>
        </w:tc>
        <w:tc>
          <w:tcPr>
            <w:tcW w:w="269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大型修缮</w:t>
            </w:r>
          </w:p>
        </w:tc>
        <w:tc>
          <w:tcPr>
            <w:tcW w:w="1428"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462" w:hRule="atLeast"/>
          <w:jc w:val="center"/>
        </w:trPr>
        <w:tc>
          <w:tcPr>
            <w:tcW w:w="9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30111</w:t>
            </w:r>
          </w:p>
        </w:tc>
        <w:tc>
          <w:tcPr>
            <w:tcW w:w="256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公务员医疗补助缴费</w:t>
            </w:r>
          </w:p>
        </w:tc>
        <w:tc>
          <w:tcPr>
            <w:tcW w:w="1095"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31.13</w:t>
            </w:r>
          </w:p>
        </w:tc>
        <w:tc>
          <w:tcPr>
            <w:tcW w:w="109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30209</w:t>
            </w:r>
          </w:p>
        </w:tc>
        <w:tc>
          <w:tcPr>
            <w:tcW w:w="2205"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物业管理费</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23.00</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31007</w:t>
            </w:r>
          </w:p>
        </w:tc>
        <w:tc>
          <w:tcPr>
            <w:tcW w:w="269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信息网络及软件购置更新</w:t>
            </w:r>
          </w:p>
        </w:tc>
        <w:tc>
          <w:tcPr>
            <w:tcW w:w="1428"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462" w:hRule="atLeast"/>
          <w:jc w:val="center"/>
        </w:trPr>
        <w:tc>
          <w:tcPr>
            <w:tcW w:w="9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30112</w:t>
            </w:r>
          </w:p>
        </w:tc>
        <w:tc>
          <w:tcPr>
            <w:tcW w:w="256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其他社会保障缴费</w:t>
            </w:r>
          </w:p>
        </w:tc>
        <w:tc>
          <w:tcPr>
            <w:tcW w:w="1095"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33.39</w:t>
            </w:r>
          </w:p>
        </w:tc>
        <w:tc>
          <w:tcPr>
            <w:tcW w:w="109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30211</w:t>
            </w:r>
          </w:p>
        </w:tc>
        <w:tc>
          <w:tcPr>
            <w:tcW w:w="2205"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差旅费</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3.14</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31008</w:t>
            </w:r>
          </w:p>
        </w:tc>
        <w:tc>
          <w:tcPr>
            <w:tcW w:w="269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物资储备</w:t>
            </w:r>
          </w:p>
        </w:tc>
        <w:tc>
          <w:tcPr>
            <w:tcW w:w="1428"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462" w:hRule="atLeast"/>
          <w:jc w:val="center"/>
        </w:trPr>
        <w:tc>
          <w:tcPr>
            <w:tcW w:w="9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30113</w:t>
            </w:r>
          </w:p>
        </w:tc>
        <w:tc>
          <w:tcPr>
            <w:tcW w:w="256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1095"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43.78</w:t>
            </w:r>
          </w:p>
        </w:tc>
        <w:tc>
          <w:tcPr>
            <w:tcW w:w="109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30212</w:t>
            </w:r>
          </w:p>
        </w:tc>
        <w:tc>
          <w:tcPr>
            <w:tcW w:w="2205"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因公出国（境）费用</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31009</w:t>
            </w:r>
          </w:p>
        </w:tc>
        <w:tc>
          <w:tcPr>
            <w:tcW w:w="269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土地补偿</w:t>
            </w:r>
          </w:p>
        </w:tc>
        <w:tc>
          <w:tcPr>
            <w:tcW w:w="1428"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462" w:hRule="atLeast"/>
          <w:jc w:val="center"/>
        </w:trPr>
        <w:tc>
          <w:tcPr>
            <w:tcW w:w="9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30114</w:t>
            </w:r>
          </w:p>
        </w:tc>
        <w:tc>
          <w:tcPr>
            <w:tcW w:w="256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医疗费</w:t>
            </w:r>
          </w:p>
        </w:tc>
        <w:tc>
          <w:tcPr>
            <w:tcW w:w="1095"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09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30213</w:t>
            </w:r>
          </w:p>
        </w:tc>
        <w:tc>
          <w:tcPr>
            <w:tcW w:w="2205"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维修（护）费</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4.57</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31010</w:t>
            </w:r>
          </w:p>
        </w:tc>
        <w:tc>
          <w:tcPr>
            <w:tcW w:w="269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安置补助</w:t>
            </w:r>
          </w:p>
        </w:tc>
        <w:tc>
          <w:tcPr>
            <w:tcW w:w="1428"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462" w:hRule="atLeast"/>
          <w:jc w:val="center"/>
        </w:trPr>
        <w:tc>
          <w:tcPr>
            <w:tcW w:w="9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30199</w:t>
            </w:r>
          </w:p>
        </w:tc>
        <w:tc>
          <w:tcPr>
            <w:tcW w:w="256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其他工资福利支出</w:t>
            </w:r>
          </w:p>
        </w:tc>
        <w:tc>
          <w:tcPr>
            <w:tcW w:w="1095"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9.89</w:t>
            </w:r>
          </w:p>
        </w:tc>
        <w:tc>
          <w:tcPr>
            <w:tcW w:w="109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30214</w:t>
            </w:r>
          </w:p>
        </w:tc>
        <w:tc>
          <w:tcPr>
            <w:tcW w:w="2205"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租赁费</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31011</w:t>
            </w:r>
          </w:p>
        </w:tc>
        <w:tc>
          <w:tcPr>
            <w:tcW w:w="269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地上附着物和青苗补偿</w:t>
            </w:r>
          </w:p>
        </w:tc>
        <w:tc>
          <w:tcPr>
            <w:tcW w:w="1428"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462" w:hRule="atLeast"/>
          <w:jc w:val="center"/>
        </w:trPr>
        <w:tc>
          <w:tcPr>
            <w:tcW w:w="9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303</w:t>
            </w:r>
          </w:p>
        </w:tc>
        <w:tc>
          <w:tcPr>
            <w:tcW w:w="256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对个人和家庭的补助</w:t>
            </w:r>
          </w:p>
        </w:tc>
        <w:tc>
          <w:tcPr>
            <w:tcW w:w="1095"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139.63</w:t>
            </w:r>
          </w:p>
        </w:tc>
        <w:tc>
          <w:tcPr>
            <w:tcW w:w="109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30215</w:t>
            </w:r>
          </w:p>
        </w:tc>
        <w:tc>
          <w:tcPr>
            <w:tcW w:w="2205"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会议费</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31012</w:t>
            </w:r>
          </w:p>
        </w:tc>
        <w:tc>
          <w:tcPr>
            <w:tcW w:w="269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拆迁补偿</w:t>
            </w:r>
          </w:p>
        </w:tc>
        <w:tc>
          <w:tcPr>
            <w:tcW w:w="1428"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462" w:hRule="atLeast"/>
          <w:jc w:val="center"/>
        </w:trPr>
        <w:tc>
          <w:tcPr>
            <w:tcW w:w="9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30301</w:t>
            </w:r>
          </w:p>
        </w:tc>
        <w:tc>
          <w:tcPr>
            <w:tcW w:w="256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离休费</w:t>
            </w:r>
          </w:p>
        </w:tc>
        <w:tc>
          <w:tcPr>
            <w:tcW w:w="1095"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09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30216</w:t>
            </w:r>
          </w:p>
        </w:tc>
        <w:tc>
          <w:tcPr>
            <w:tcW w:w="2205"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培训费</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0.18</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31013</w:t>
            </w:r>
          </w:p>
        </w:tc>
        <w:tc>
          <w:tcPr>
            <w:tcW w:w="269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公务用车购置</w:t>
            </w:r>
          </w:p>
        </w:tc>
        <w:tc>
          <w:tcPr>
            <w:tcW w:w="1428"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462" w:hRule="atLeast"/>
          <w:jc w:val="center"/>
        </w:trPr>
        <w:tc>
          <w:tcPr>
            <w:tcW w:w="9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30302</w:t>
            </w:r>
          </w:p>
        </w:tc>
        <w:tc>
          <w:tcPr>
            <w:tcW w:w="256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退休费</w:t>
            </w:r>
          </w:p>
        </w:tc>
        <w:tc>
          <w:tcPr>
            <w:tcW w:w="1095"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09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30217</w:t>
            </w:r>
          </w:p>
        </w:tc>
        <w:tc>
          <w:tcPr>
            <w:tcW w:w="2205"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公务接待费</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0.09</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31019</w:t>
            </w:r>
          </w:p>
        </w:tc>
        <w:tc>
          <w:tcPr>
            <w:tcW w:w="269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其他交通工具购置</w:t>
            </w:r>
          </w:p>
        </w:tc>
        <w:tc>
          <w:tcPr>
            <w:tcW w:w="1428"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462" w:hRule="atLeast"/>
          <w:jc w:val="center"/>
        </w:trPr>
        <w:tc>
          <w:tcPr>
            <w:tcW w:w="9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30303</w:t>
            </w:r>
          </w:p>
        </w:tc>
        <w:tc>
          <w:tcPr>
            <w:tcW w:w="256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退职（役）费</w:t>
            </w:r>
          </w:p>
        </w:tc>
        <w:tc>
          <w:tcPr>
            <w:tcW w:w="1095"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09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30218</w:t>
            </w:r>
          </w:p>
        </w:tc>
        <w:tc>
          <w:tcPr>
            <w:tcW w:w="2205"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专用材料费</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107.00</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31021</w:t>
            </w:r>
          </w:p>
        </w:tc>
        <w:tc>
          <w:tcPr>
            <w:tcW w:w="269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文物和陈列品购置</w:t>
            </w:r>
          </w:p>
        </w:tc>
        <w:tc>
          <w:tcPr>
            <w:tcW w:w="1428"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462" w:hRule="atLeast"/>
          <w:jc w:val="center"/>
        </w:trPr>
        <w:tc>
          <w:tcPr>
            <w:tcW w:w="9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30304</w:t>
            </w:r>
          </w:p>
        </w:tc>
        <w:tc>
          <w:tcPr>
            <w:tcW w:w="256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抚恤金</w:t>
            </w:r>
          </w:p>
        </w:tc>
        <w:tc>
          <w:tcPr>
            <w:tcW w:w="1095"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10.79</w:t>
            </w:r>
          </w:p>
        </w:tc>
        <w:tc>
          <w:tcPr>
            <w:tcW w:w="109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30224</w:t>
            </w:r>
          </w:p>
        </w:tc>
        <w:tc>
          <w:tcPr>
            <w:tcW w:w="2205"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被装购置费</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31022</w:t>
            </w:r>
          </w:p>
        </w:tc>
        <w:tc>
          <w:tcPr>
            <w:tcW w:w="269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无形资产购置</w:t>
            </w:r>
          </w:p>
        </w:tc>
        <w:tc>
          <w:tcPr>
            <w:tcW w:w="1428"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462" w:hRule="atLeast"/>
          <w:jc w:val="center"/>
        </w:trPr>
        <w:tc>
          <w:tcPr>
            <w:tcW w:w="9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30305</w:t>
            </w:r>
          </w:p>
        </w:tc>
        <w:tc>
          <w:tcPr>
            <w:tcW w:w="256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生活补助</w:t>
            </w:r>
          </w:p>
        </w:tc>
        <w:tc>
          <w:tcPr>
            <w:tcW w:w="1095"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128.85</w:t>
            </w:r>
          </w:p>
        </w:tc>
        <w:tc>
          <w:tcPr>
            <w:tcW w:w="109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30225</w:t>
            </w:r>
          </w:p>
        </w:tc>
        <w:tc>
          <w:tcPr>
            <w:tcW w:w="2205"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专用燃料费</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31099</w:t>
            </w:r>
          </w:p>
        </w:tc>
        <w:tc>
          <w:tcPr>
            <w:tcW w:w="269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其他资本性支出</w:t>
            </w:r>
          </w:p>
        </w:tc>
        <w:tc>
          <w:tcPr>
            <w:tcW w:w="1428"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462" w:hRule="atLeast"/>
          <w:jc w:val="center"/>
        </w:trPr>
        <w:tc>
          <w:tcPr>
            <w:tcW w:w="9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30306</w:t>
            </w:r>
          </w:p>
        </w:tc>
        <w:tc>
          <w:tcPr>
            <w:tcW w:w="256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救济费</w:t>
            </w:r>
          </w:p>
        </w:tc>
        <w:tc>
          <w:tcPr>
            <w:tcW w:w="1095"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09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30226</w:t>
            </w:r>
          </w:p>
        </w:tc>
        <w:tc>
          <w:tcPr>
            <w:tcW w:w="2205"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劳务费</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6.46</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399</w:t>
            </w:r>
          </w:p>
        </w:tc>
        <w:tc>
          <w:tcPr>
            <w:tcW w:w="269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其他支出</w:t>
            </w:r>
          </w:p>
        </w:tc>
        <w:tc>
          <w:tcPr>
            <w:tcW w:w="1428"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462" w:hRule="atLeast"/>
          <w:jc w:val="center"/>
        </w:trPr>
        <w:tc>
          <w:tcPr>
            <w:tcW w:w="9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30307</w:t>
            </w:r>
          </w:p>
        </w:tc>
        <w:tc>
          <w:tcPr>
            <w:tcW w:w="256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医疗费补助</w:t>
            </w:r>
          </w:p>
        </w:tc>
        <w:tc>
          <w:tcPr>
            <w:tcW w:w="1095"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09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30227</w:t>
            </w:r>
          </w:p>
        </w:tc>
        <w:tc>
          <w:tcPr>
            <w:tcW w:w="2205"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委托业务费</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39906</w:t>
            </w:r>
          </w:p>
        </w:tc>
        <w:tc>
          <w:tcPr>
            <w:tcW w:w="269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赠与</w:t>
            </w:r>
          </w:p>
        </w:tc>
        <w:tc>
          <w:tcPr>
            <w:tcW w:w="1428"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462" w:hRule="atLeast"/>
          <w:jc w:val="center"/>
        </w:trPr>
        <w:tc>
          <w:tcPr>
            <w:tcW w:w="9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30308</w:t>
            </w:r>
          </w:p>
        </w:tc>
        <w:tc>
          <w:tcPr>
            <w:tcW w:w="256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助学金</w:t>
            </w:r>
          </w:p>
        </w:tc>
        <w:tc>
          <w:tcPr>
            <w:tcW w:w="1095"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09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30228</w:t>
            </w:r>
          </w:p>
        </w:tc>
        <w:tc>
          <w:tcPr>
            <w:tcW w:w="2205"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工会经费</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2.79</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39907</w:t>
            </w:r>
          </w:p>
        </w:tc>
        <w:tc>
          <w:tcPr>
            <w:tcW w:w="269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国家赔偿费用支出</w:t>
            </w:r>
          </w:p>
        </w:tc>
        <w:tc>
          <w:tcPr>
            <w:tcW w:w="1428"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462" w:hRule="atLeast"/>
          <w:jc w:val="center"/>
        </w:trPr>
        <w:tc>
          <w:tcPr>
            <w:tcW w:w="9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30309</w:t>
            </w:r>
          </w:p>
        </w:tc>
        <w:tc>
          <w:tcPr>
            <w:tcW w:w="256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奖励金</w:t>
            </w:r>
          </w:p>
        </w:tc>
        <w:tc>
          <w:tcPr>
            <w:tcW w:w="1095"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09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30229</w:t>
            </w:r>
          </w:p>
        </w:tc>
        <w:tc>
          <w:tcPr>
            <w:tcW w:w="2205"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福利费</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39908</w:t>
            </w:r>
          </w:p>
        </w:tc>
        <w:tc>
          <w:tcPr>
            <w:tcW w:w="269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对民间非营利组织和群众性自治组织补贴</w:t>
            </w:r>
          </w:p>
        </w:tc>
        <w:tc>
          <w:tcPr>
            <w:tcW w:w="1428"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462" w:hRule="atLeast"/>
          <w:jc w:val="center"/>
        </w:trPr>
        <w:tc>
          <w:tcPr>
            <w:tcW w:w="9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30310</w:t>
            </w:r>
          </w:p>
        </w:tc>
        <w:tc>
          <w:tcPr>
            <w:tcW w:w="256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个人农业生产补贴</w:t>
            </w:r>
          </w:p>
        </w:tc>
        <w:tc>
          <w:tcPr>
            <w:tcW w:w="1095"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09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30231</w:t>
            </w:r>
          </w:p>
        </w:tc>
        <w:tc>
          <w:tcPr>
            <w:tcW w:w="2205"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公务用车运行维护费</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39999</w:t>
            </w:r>
          </w:p>
        </w:tc>
        <w:tc>
          <w:tcPr>
            <w:tcW w:w="269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其他支出</w:t>
            </w:r>
          </w:p>
        </w:tc>
        <w:tc>
          <w:tcPr>
            <w:tcW w:w="1428"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462" w:hRule="atLeast"/>
          <w:jc w:val="center"/>
        </w:trPr>
        <w:tc>
          <w:tcPr>
            <w:tcW w:w="9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30311</w:t>
            </w:r>
          </w:p>
        </w:tc>
        <w:tc>
          <w:tcPr>
            <w:tcW w:w="256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代缴社会保险费</w:t>
            </w:r>
          </w:p>
        </w:tc>
        <w:tc>
          <w:tcPr>
            <w:tcW w:w="1095"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09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30239</w:t>
            </w:r>
          </w:p>
        </w:tc>
        <w:tc>
          <w:tcPr>
            <w:tcW w:w="2205"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其他交通费用</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0.44</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269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1428"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462" w:hRule="atLeast"/>
          <w:jc w:val="center"/>
        </w:trPr>
        <w:tc>
          <w:tcPr>
            <w:tcW w:w="9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30399</w:t>
            </w:r>
          </w:p>
        </w:tc>
        <w:tc>
          <w:tcPr>
            <w:tcW w:w="256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其他对个人和家庭的补助</w:t>
            </w:r>
          </w:p>
        </w:tc>
        <w:tc>
          <w:tcPr>
            <w:tcW w:w="1095"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09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30240</w:t>
            </w:r>
          </w:p>
        </w:tc>
        <w:tc>
          <w:tcPr>
            <w:tcW w:w="2205"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xml:space="preserve">  税金及附加费用</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269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1428"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462" w:hRule="atLeast"/>
          <w:jc w:val="center"/>
        </w:trPr>
        <w:tc>
          <w:tcPr>
            <w:tcW w:w="9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256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1095"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1093"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30299</w:t>
            </w:r>
          </w:p>
        </w:tc>
        <w:tc>
          <w:tcPr>
            <w:tcW w:w="2205"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其他商品和服务支出</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95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269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1428"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462" w:hRule="atLeast"/>
          <w:jc w:val="center"/>
        </w:trPr>
        <w:tc>
          <w:tcPr>
            <w:tcW w:w="3554"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人员经费合计</w:t>
            </w:r>
          </w:p>
        </w:tc>
        <w:tc>
          <w:tcPr>
            <w:tcW w:w="1095"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768.54</w:t>
            </w:r>
          </w:p>
        </w:tc>
        <w:tc>
          <w:tcPr>
            <w:tcW w:w="7906" w:type="dxa"/>
            <w:gridSpan w:val="5"/>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公用经费合计</w:t>
            </w:r>
          </w:p>
        </w:tc>
        <w:tc>
          <w:tcPr>
            <w:tcW w:w="1428"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158.43</w:t>
            </w:r>
          </w:p>
        </w:tc>
      </w:tr>
    </w:tbl>
    <w:p>
      <w:pPr>
        <w:widowControl/>
        <w:jc w:val="left"/>
        <w:rPr>
          <w:rFonts w:ascii="Times New Roman" w:hAnsi="Times New Roman" w:eastAsia="方正小标宋_GBK" w:cs="Times New Roman"/>
          <w:color w:val="000000"/>
          <w:kern w:val="0"/>
          <w:sz w:val="36"/>
          <w:szCs w:val="36"/>
        </w:rPr>
      </w:pPr>
    </w:p>
    <w:p>
      <w:pPr>
        <w:widowControl/>
        <w:jc w:val="left"/>
        <w:rPr>
          <w:rFonts w:ascii="Times New Roman" w:hAnsi="Times New Roman" w:eastAsia="方正小标宋_GBK" w:cs="Times New Roman"/>
          <w:color w:val="000000"/>
          <w:kern w:val="0"/>
          <w:sz w:val="36"/>
          <w:szCs w:val="36"/>
        </w:rPr>
      </w:pPr>
    </w:p>
    <w:p>
      <w:pPr>
        <w:widowControl/>
        <w:jc w:val="left"/>
        <w:rPr>
          <w:rFonts w:ascii="Times New Roman" w:hAnsi="Times New Roman" w:eastAsia="方正小标宋_GBK" w:cs="Times New Roman"/>
          <w:color w:val="000000"/>
          <w:kern w:val="0"/>
          <w:sz w:val="36"/>
          <w:szCs w:val="36"/>
        </w:rPr>
      </w:pPr>
    </w:p>
    <w:p>
      <w:pPr>
        <w:widowControl/>
        <w:jc w:val="left"/>
        <w:rPr>
          <w:rFonts w:ascii="Times New Roman" w:hAnsi="Times New Roman" w:eastAsia="方正小标宋_GBK" w:cs="Times New Roman"/>
          <w:color w:val="000000"/>
          <w:kern w:val="0"/>
          <w:sz w:val="36"/>
          <w:szCs w:val="36"/>
        </w:rPr>
      </w:pPr>
    </w:p>
    <w:p>
      <w:pPr>
        <w:widowControl/>
        <w:jc w:val="left"/>
        <w:rPr>
          <w:rFonts w:ascii="Times New Roman" w:hAnsi="Times New Roman" w:eastAsia="方正小标宋_GBK" w:cs="Times New Roman"/>
          <w:color w:val="000000"/>
          <w:kern w:val="0"/>
          <w:sz w:val="36"/>
          <w:szCs w:val="36"/>
        </w:rPr>
      </w:pPr>
    </w:p>
    <w:p>
      <w:pPr>
        <w:widowControl/>
        <w:jc w:val="left"/>
        <w:rPr>
          <w:rFonts w:ascii="Times New Roman" w:hAnsi="Times New Roman" w:eastAsia="方正小标宋_GBK" w:cs="Times New Roman"/>
          <w:color w:val="000000"/>
          <w:kern w:val="0"/>
          <w:sz w:val="36"/>
          <w:szCs w:val="36"/>
        </w:rPr>
      </w:pPr>
    </w:p>
    <w:p>
      <w:pPr>
        <w:widowControl/>
        <w:jc w:val="left"/>
        <w:rPr>
          <w:rFonts w:hint="eastAsia" w:ascii="Times New Roman" w:hAnsi="Times New Roman" w:eastAsia="方正小标宋_GBK" w:cs="Times New Roman"/>
          <w:color w:val="000000"/>
          <w:kern w:val="0"/>
          <w:sz w:val="36"/>
          <w:szCs w:val="36"/>
        </w:rPr>
      </w:pPr>
    </w:p>
    <w:tbl>
      <w:tblPr>
        <w:tblStyle w:val="6"/>
        <w:tblW w:w="138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111"/>
        <w:gridCol w:w="1112"/>
        <w:gridCol w:w="1100"/>
        <w:gridCol w:w="1100"/>
        <w:gridCol w:w="1206"/>
        <w:gridCol w:w="1100"/>
        <w:gridCol w:w="1100"/>
        <w:gridCol w:w="1100"/>
        <w:gridCol w:w="1100"/>
        <w:gridCol w:w="1101"/>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13816" w:type="dxa"/>
            <w:gridSpan w:val="12"/>
            <w:tcBorders>
              <w:top w:val="nil"/>
              <w:left w:val="nil"/>
              <w:bottom w:val="nil"/>
              <w:right w:val="nil"/>
            </w:tcBorders>
            <w:shd w:val="clear" w:color="auto" w:fill="auto"/>
            <w:noWrap/>
            <w:vAlign w:val="bottom"/>
          </w:tcPr>
          <w:p>
            <w:pPr>
              <w:widowControl/>
              <w:jc w:val="center"/>
              <w:rPr>
                <w:rFonts w:ascii="Times New Roman" w:hAnsi="Times New Roman" w:eastAsia="Times New Roman" w:cs="Times New Roman"/>
                <w:kern w:val="0"/>
                <w:sz w:val="20"/>
                <w:szCs w:val="20"/>
              </w:rPr>
            </w:pPr>
            <w:r>
              <w:rPr>
                <w:rFonts w:hint="eastAsia" w:ascii="方正小标宋简体" w:hAnsi="宋体" w:eastAsia="方正小标宋简体" w:cs="Arial"/>
                <w:color w:val="000000"/>
                <w:kern w:val="0"/>
                <w:sz w:val="40"/>
                <w:szCs w:val="44"/>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111"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111"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112"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100"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b/>
                <w:kern w:val="0"/>
                <w:sz w:val="20"/>
                <w:szCs w:val="20"/>
              </w:rPr>
            </w:pPr>
          </w:p>
        </w:tc>
        <w:tc>
          <w:tcPr>
            <w:tcW w:w="1100"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b/>
                <w:kern w:val="0"/>
                <w:sz w:val="20"/>
                <w:szCs w:val="20"/>
              </w:rPr>
            </w:pPr>
          </w:p>
        </w:tc>
        <w:tc>
          <w:tcPr>
            <w:tcW w:w="1206"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100"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100"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100"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100"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101"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575"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公开07表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3334" w:type="dxa"/>
            <w:gridSpan w:val="3"/>
            <w:tcBorders>
              <w:top w:val="nil"/>
              <w:left w:val="nil"/>
              <w:bottom w:val="single" w:color="auto" w:sz="4" w:space="0"/>
              <w:right w:val="nil"/>
            </w:tcBorders>
            <w:shd w:val="clear" w:color="auto" w:fill="auto"/>
            <w:noWrap/>
            <w:vAlign w:val="bottom"/>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部门：岳阳市教育科学技术研究院</w:t>
            </w:r>
          </w:p>
        </w:tc>
        <w:tc>
          <w:tcPr>
            <w:tcW w:w="1100" w:type="dxa"/>
            <w:tcBorders>
              <w:top w:val="nil"/>
              <w:left w:val="nil"/>
              <w:bottom w:val="single" w:color="auto" w:sz="4" w:space="0"/>
              <w:right w:val="nil"/>
            </w:tcBorders>
            <w:shd w:val="clear" w:color="auto" w:fill="auto"/>
            <w:noWrap/>
            <w:vAlign w:val="bottom"/>
          </w:tcPr>
          <w:p>
            <w:pPr>
              <w:widowControl/>
              <w:jc w:val="left"/>
              <w:rPr>
                <w:rFonts w:hint="eastAsia" w:ascii="宋体" w:hAnsi="宋体" w:eastAsia="宋体" w:cs="Arial"/>
                <w:b/>
                <w:color w:val="000000"/>
                <w:kern w:val="0"/>
                <w:sz w:val="20"/>
                <w:szCs w:val="20"/>
              </w:rPr>
            </w:pPr>
          </w:p>
        </w:tc>
        <w:tc>
          <w:tcPr>
            <w:tcW w:w="1100" w:type="dxa"/>
            <w:tcBorders>
              <w:top w:val="nil"/>
              <w:left w:val="nil"/>
              <w:bottom w:val="single" w:color="auto" w:sz="4" w:space="0"/>
              <w:right w:val="nil"/>
            </w:tcBorders>
            <w:shd w:val="clear" w:color="auto" w:fill="auto"/>
            <w:noWrap/>
            <w:vAlign w:val="bottom"/>
          </w:tcPr>
          <w:p>
            <w:pPr>
              <w:widowControl/>
              <w:jc w:val="left"/>
              <w:rPr>
                <w:rFonts w:ascii="Times New Roman" w:hAnsi="Times New Roman" w:eastAsia="Times New Roman" w:cs="Times New Roman"/>
                <w:b/>
                <w:kern w:val="0"/>
                <w:sz w:val="20"/>
                <w:szCs w:val="20"/>
              </w:rPr>
            </w:pPr>
          </w:p>
        </w:tc>
        <w:tc>
          <w:tcPr>
            <w:tcW w:w="1206" w:type="dxa"/>
            <w:tcBorders>
              <w:top w:val="nil"/>
              <w:left w:val="nil"/>
              <w:bottom w:val="single" w:color="auto" w:sz="4" w:space="0"/>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100" w:type="dxa"/>
            <w:tcBorders>
              <w:top w:val="nil"/>
              <w:left w:val="nil"/>
              <w:bottom w:val="single" w:color="auto" w:sz="4" w:space="0"/>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100" w:type="dxa"/>
            <w:tcBorders>
              <w:top w:val="nil"/>
              <w:left w:val="nil"/>
              <w:bottom w:val="single" w:color="auto" w:sz="4" w:space="0"/>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100" w:type="dxa"/>
            <w:tcBorders>
              <w:top w:val="nil"/>
              <w:left w:val="nil"/>
              <w:bottom w:val="single" w:color="auto" w:sz="4" w:space="0"/>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100" w:type="dxa"/>
            <w:tcBorders>
              <w:top w:val="nil"/>
              <w:left w:val="nil"/>
              <w:bottom w:val="single" w:color="auto" w:sz="4" w:space="0"/>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101" w:type="dxa"/>
            <w:tcBorders>
              <w:top w:val="nil"/>
              <w:left w:val="nil"/>
              <w:bottom w:val="single" w:color="auto" w:sz="4" w:space="0"/>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575" w:type="dxa"/>
            <w:tcBorders>
              <w:top w:val="nil"/>
              <w:left w:val="nil"/>
              <w:bottom w:val="single" w:color="auto" w:sz="4" w:space="0"/>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6740" w:type="dxa"/>
            <w:gridSpan w:val="6"/>
            <w:tcBorders>
              <w:top w:val="single" w:color="auto" w:sz="4" w:space="0"/>
            </w:tcBorders>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预算数</w:t>
            </w:r>
          </w:p>
        </w:tc>
        <w:tc>
          <w:tcPr>
            <w:tcW w:w="7076" w:type="dxa"/>
            <w:gridSpan w:val="6"/>
            <w:tcBorders>
              <w:top w:val="single" w:color="auto" w:sz="4" w:space="0"/>
            </w:tcBorders>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111" w:type="dxa"/>
            <w:vMerge w:val="restart"/>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合计</w:t>
            </w:r>
          </w:p>
        </w:tc>
        <w:tc>
          <w:tcPr>
            <w:tcW w:w="1111" w:type="dxa"/>
            <w:vMerge w:val="restart"/>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因公出国（境）费</w:t>
            </w:r>
          </w:p>
        </w:tc>
        <w:tc>
          <w:tcPr>
            <w:tcW w:w="3312" w:type="dxa"/>
            <w:gridSpan w:val="3"/>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公务用车购置及运行费</w:t>
            </w:r>
          </w:p>
        </w:tc>
        <w:tc>
          <w:tcPr>
            <w:tcW w:w="1206" w:type="dxa"/>
            <w:vMerge w:val="restart"/>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公务接待费</w:t>
            </w:r>
          </w:p>
        </w:tc>
        <w:tc>
          <w:tcPr>
            <w:tcW w:w="1100" w:type="dxa"/>
            <w:vMerge w:val="restart"/>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合计</w:t>
            </w:r>
          </w:p>
        </w:tc>
        <w:tc>
          <w:tcPr>
            <w:tcW w:w="1100" w:type="dxa"/>
            <w:vMerge w:val="restart"/>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因公出国（境）费</w:t>
            </w:r>
          </w:p>
        </w:tc>
        <w:tc>
          <w:tcPr>
            <w:tcW w:w="3301" w:type="dxa"/>
            <w:gridSpan w:val="3"/>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公务用车购置及运行费</w:t>
            </w:r>
          </w:p>
        </w:tc>
        <w:tc>
          <w:tcPr>
            <w:tcW w:w="1575" w:type="dxa"/>
            <w:vMerge w:val="restart"/>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jc w:val="center"/>
        </w:trPr>
        <w:tc>
          <w:tcPr>
            <w:tcW w:w="1111" w:type="dxa"/>
            <w:vMerge w:val="continue"/>
            <w:tcBorders>
              <w:bottom w:val="single" w:color="auto" w:sz="4" w:space="0"/>
            </w:tcBorders>
            <w:shd w:val="clear" w:color="auto" w:fill="auto"/>
            <w:vAlign w:val="center"/>
          </w:tcPr>
          <w:p>
            <w:pPr>
              <w:widowControl/>
              <w:jc w:val="left"/>
              <w:rPr>
                <w:rFonts w:ascii="宋体" w:hAnsi="宋体" w:eastAsia="宋体" w:cs="Arial"/>
                <w:color w:val="000000"/>
                <w:kern w:val="0"/>
                <w:sz w:val="22"/>
              </w:rPr>
            </w:pPr>
          </w:p>
        </w:tc>
        <w:tc>
          <w:tcPr>
            <w:tcW w:w="1111" w:type="dxa"/>
            <w:vMerge w:val="continue"/>
            <w:tcBorders>
              <w:bottom w:val="single" w:color="auto" w:sz="4" w:space="0"/>
            </w:tcBorders>
            <w:shd w:val="clear" w:color="auto" w:fill="auto"/>
            <w:vAlign w:val="center"/>
          </w:tcPr>
          <w:p>
            <w:pPr>
              <w:widowControl/>
              <w:jc w:val="left"/>
              <w:rPr>
                <w:rFonts w:ascii="宋体" w:hAnsi="宋体" w:eastAsia="宋体" w:cs="Arial"/>
                <w:color w:val="000000"/>
                <w:kern w:val="0"/>
                <w:sz w:val="22"/>
              </w:rPr>
            </w:pPr>
          </w:p>
        </w:tc>
        <w:tc>
          <w:tcPr>
            <w:tcW w:w="1112" w:type="dxa"/>
            <w:tcBorders>
              <w:bottom w:val="single" w:color="auto" w:sz="4" w:space="0"/>
            </w:tcBorders>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小计</w:t>
            </w:r>
          </w:p>
        </w:tc>
        <w:tc>
          <w:tcPr>
            <w:tcW w:w="1100" w:type="dxa"/>
            <w:tcBorders>
              <w:bottom w:val="single" w:color="auto" w:sz="4" w:space="0"/>
            </w:tcBorders>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公务用车购置费</w:t>
            </w:r>
          </w:p>
        </w:tc>
        <w:tc>
          <w:tcPr>
            <w:tcW w:w="1100" w:type="dxa"/>
            <w:tcBorders>
              <w:bottom w:val="single" w:color="auto" w:sz="4" w:space="0"/>
            </w:tcBorders>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公务用车运行费</w:t>
            </w:r>
          </w:p>
        </w:tc>
        <w:tc>
          <w:tcPr>
            <w:tcW w:w="1206" w:type="dxa"/>
            <w:vMerge w:val="continue"/>
            <w:tcBorders>
              <w:bottom w:val="single" w:color="auto" w:sz="4" w:space="0"/>
            </w:tcBorders>
            <w:shd w:val="clear" w:color="auto" w:fill="auto"/>
            <w:vAlign w:val="center"/>
          </w:tcPr>
          <w:p>
            <w:pPr>
              <w:widowControl/>
              <w:jc w:val="left"/>
              <w:rPr>
                <w:rFonts w:ascii="宋体" w:hAnsi="宋体" w:eastAsia="宋体" w:cs="Arial"/>
                <w:color w:val="000000"/>
                <w:kern w:val="0"/>
                <w:sz w:val="22"/>
              </w:rPr>
            </w:pPr>
          </w:p>
        </w:tc>
        <w:tc>
          <w:tcPr>
            <w:tcW w:w="1100" w:type="dxa"/>
            <w:vMerge w:val="continue"/>
            <w:tcBorders>
              <w:bottom w:val="single" w:color="auto" w:sz="4" w:space="0"/>
            </w:tcBorders>
            <w:shd w:val="clear" w:color="auto" w:fill="auto"/>
            <w:vAlign w:val="center"/>
          </w:tcPr>
          <w:p>
            <w:pPr>
              <w:widowControl/>
              <w:jc w:val="left"/>
              <w:rPr>
                <w:rFonts w:ascii="宋体" w:hAnsi="宋体" w:eastAsia="宋体" w:cs="Arial"/>
                <w:color w:val="000000"/>
                <w:kern w:val="0"/>
                <w:sz w:val="22"/>
              </w:rPr>
            </w:pPr>
          </w:p>
        </w:tc>
        <w:tc>
          <w:tcPr>
            <w:tcW w:w="1100" w:type="dxa"/>
            <w:vMerge w:val="continue"/>
            <w:tcBorders>
              <w:bottom w:val="single" w:color="auto" w:sz="4" w:space="0"/>
            </w:tcBorders>
            <w:shd w:val="clear" w:color="auto" w:fill="auto"/>
            <w:vAlign w:val="center"/>
          </w:tcPr>
          <w:p>
            <w:pPr>
              <w:widowControl/>
              <w:jc w:val="left"/>
              <w:rPr>
                <w:rFonts w:ascii="宋体" w:hAnsi="宋体" w:eastAsia="宋体" w:cs="Arial"/>
                <w:color w:val="000000"/>
                <w:kern w:val="0"/>
                <w:sz w:val="22"/>
              </w:rPr>
            </w:pPr>
          </w:p>
        </w:tc>
        <w:tc>
          <w:tcPr>
            <w:tcW w:w="1100" w:type="dxa"/>
            <w:tcBorders>
              <w:bottom w:val="single" w:color="auto" w:sz="4" w:space="0"/>
            </w:tcBorders>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小计</w:t>
            </w:r>
          </w:p>
        </w:tc>
        <w:tc>
          <w:tcPr>
            <w:tcW w:w="1100" w:type="dxa"/>
            <w:tcBorders>
              <w:bottom w:val="single" w:color="auto" w:sz="4" w:space="0"/>
            </w:tcBorders>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公务用车购置费</w:t>
            </w:r>
          </w:p>
        </w:tc>
        <w:tc>
          <w:tcPr>
            <w:tcW w:w="1101" w:type="dxa"/>
            <w:tcBorders>
              <w:bottom w:val="single" w:color="auto" w:sz="4" w:space="0"/>
            </w:tcBorders>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公务用车运行费</w:t>
            </w:r>
          </w:p>
        </w:tc>
        <w:tc>
          <w:tcPr>
            <w:tcW w:w="1575" w:type="dxa"/>
            <w:vMerge w:val="continue"/>
            <w:tcBorders>
              <w:bottom w:val="single" w:color="auto" w:sz="4" w:space="0"/>
            </w:tcBorders>
            <w:shd w:val="clear" w:color="auto" w:fill="auto"/>
            <w:vAlign w:val="center"/>
          </w:tcPr>
          <w:p>
            <w:pPr>
              <w:widowControl/>
              <w:jc w:val="left"/>
              <w:rPr>
                <w:rFonts w:ascii="宋体" w:hAnsi="宋体" w:eastAsia="宋体" w:cs="Arial"/>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111" w:type="dxa"/>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w:t>
            </w:r>
          </w:p>
        </w:tc>
        <w:tc>
          <w:tcPr>
            <w:tcW w:w="1111" w:type="dxa"/>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w:t>
            </w:r>
          </w:p>
        </w:tc>
        <w:tc>
          <w:tcPr>
            <w:tcW w:w="1112" w:type="dxa"/>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w:t>
            </w:r>
          </w:p>
        </w:tc>
        <w:tc>
          <w:tcPr>
            <w:tcW w:w="1100" w:type="dxa"/>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w:t>
            </w:r>
          </w:p>
        </w:tc>
        <w:tc>
          <w:tcPr>
            <w:tcW w:w="1100" w:type="dxa"/>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w:t>
            </w:r>
          </w:p>
        </w:tc>
        <w:tc>
          <w:tcPr>
            <w:tcW w:w="1206" w:type="dxa"/>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6</w:t>
            </w:r>
          </w:p>
        </w:tc>
        <w:tc>
          <w:tcPr>
            <w:tcW w:w="1100" w:type="dxa"/>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7</w:t>
            </w:r>
          </w:p>
        </w:tc>
        <w:tc>
          <w:tcPr>
            <w:tcW w:w="1100" w:type="dxa"/>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8</w:t>
            </w:r>
          </w:p>
        </w:tc>
        <w:tc>
          <w:tcPr>
            <w:tcW w:w="1100" w:type="dxa"/>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9</w:t>
            </w:r>
          </w:p>
        </w:tc>
        <w:tc>
          <w:tcPr>
            <w:tcW w:w="1100" w:type="dxa"/>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10</w:t>
            </w:r>
          </w:p>
        </w:tc>
        <w:tc>
          <w:tcPr>
            <w:tcW w:w="1101" w:type="dxa"/>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11</w:t>
            </w:r>
          </w:p>
        </w:tc>
        <w:tc>
          <w:tcPr>
            <w:tcW w:w="1575" w:type="dxa"/>
            <w:shd w:val="clear" w:color="auto" w:fill="auto"/>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111" w:type="dxa"/>
            <w:tcBorders>
              <w:bottom w:val="single" w:color="auto"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5.50</w:t>
            </w:r>
          </w:p>
        </w:tc>
        <w:tc>
          <w:tcPr>
            <w:tcW w:w="1111" w:type="dxa"/>
            <w:tcBorders>
              <w:bottom w:val="single" w:color="auto"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12" w:type="dxa"/>
            <w:tcBorders>
              <w:bottom w:val="single" w:color="auto"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00" w:type="dxa"/>
            <w:tcBorders>
              <w:bottom w:val="single" w:color="auto"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00" w:type="dxa"/>
            <w:tcBorders>
              <w:bottom w:val="single" w:color="auto"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bottom w:val="single" w:color="auto"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5.50</w:t>
            </w:r>
          </w:p>
        </w:tc>
        <w:tc>
          <w:tcPr>
            <w:tcW w:w="1100" w:type="dxa"/>
            <w:tcBorders>
              <w:bottom w:val="single" w:color="auto"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2.30</w:t>
            </w:r>
          </w:p>
        </w:tc>
        <w:tc>
          <w:tcPr>
            <w:tcW w:w="1100" w:type="dxa"/>
            <w:tcBorders>
              <w:bottom w:val="single" w:color="auto"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00" w:type="dxa"/>
            <w:tcBorders>
              <w:bottom w:val="single" w:color="auto"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00" w:type="dxa"/>
            <w:tcBorders>
              <w:bottom w:val="single" w:color="auto"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101" w:type="dxa"/>
            <w:tcBorders>
              <w:bottom w:val="single" w:color="auto"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1575" w:type="dxa"/>
            <w:tcBorders>
              <w:bottom w:val="single" w:color="auto" w:sz="4" w:space="0"/>
            </w:tcBorders>
            <w:shd w:val="clear" w:color="auto" w:fill="auto"/>
            <w:noWrap/>
            <w:vAlign w:val="center"/>
          </w:tcPr>
          <w:p>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jc w:val="center"/>
        </w:trPr>
        <w:tc>
          <w:tcPr>
            <w:tcW w:w="13816" w:type="dxa"/>
            <w:gridSpan w:val="12"/>
            <w:tcBorders>
              <w:top w:val="single" w:color="auto" w:sz="4" w:space="0"/>
              <w:left w:val="nil"/>
              <w:bottom w:val="nil"/>
              <w:right w:val="nil"/>
            </w:tcBorders>
            <w:shd w:val="clear" w:color="auto" w:fill="auto"/>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widowControl/>
        <w:jc w:val="left"/>
        <w:rPr>
          <w:rFonts w:ascii="Times New Roman" w:hAnsi="Times New Roman" w:eastAsia="方正小标宋_GBK" w:cs="Times New Roman"/>
          <w:color w:val="000000"/>
          <w:kern w:val="0"/>
          <w:sz w:val="36"/>
          <w:szCs w:val="36"/>
        </w:rPr>
      </w:pPr>
    </w:p>
    <w:p>
      <w:pPr>
        <w:widowControl/>
        <w:jc w:val="left"/>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br w:type="page"/>
      </w:r>
    </w:p>
    <w:p>
      <w:pPr>
        <w:widowControl/>
        <w:jc w:val="left"/>
        <w:rPr>
          <w:rFonts w:ascii="Times New Roman" w:hAnsi="Times New Roman" w:eastAsia="方正小标宋_GBK" w:cs="Times New Roman"/>
          <w:color w:val="000000"/>
          <w:kern w:val="0"/>
          <w:sz w:val="36"/>
          <w:szCs w:val="36"/>
        </w:rPr>
      </w:pPr>
    </w:p>
    <w:p>
      <w:pPr>
        <w:autoSpaceDE w:val="0"/>
        <w:autoSpaceDN w:val="0"/>
        <w:adjustRightInd w:val="0"/>
        <w:ind w:left="315" w:leftChars="150"/>
        <w:jc w:val="left"/>
        <w:rPr>
          <w:rFonts w:ascii="宋体" w:eastAsia="宋体" w:cs="宋体"/>
          <w:kern w:val="0"/>
          <w:sz w:val="24"/>
          <w:szCs w:val="24"/>
        </w:rPr>
      </w:pPr>
    </w:p>
    <w:p>
      <w:pPr>
        <w:widowControl/>
        <w:jc w:val="center"/>
        <w:rPr>
          <w:rFonts w:hint="eastAsia"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4440" w:type="dxa"/>
            <w:gridSpan w:val="8"/>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rPr>
              <w:t>教科院没有政府性基金收入，也没有使用政府性基金安排的支出，故本表无数据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6"/>
        <w:tblW w:w="14190" w:type="dxa"/>
        <w:jc w:val="center"/>
        <w:tblInd w:w="0" w:type="dxa"/>
        <w:tblLayout w:type="fixed"/>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Layout w:type="fixed"/>
          <w:tblCellMar>
            <w:top w:w="0" w:type="dxa"/>
            <w:left w:w="108" w:type="dxa"/>
            <w:bottom w:w="0" w:type="dxa"/>
            <w:right w:w="108" w:type="dxa"/>
          </w:tblCellMar>
        </w:tblPrEx>
        <w:trPr>
          <w:trHeight w:val="720" w:hRule="atLeast"/>
          <w:jc w:val="center"/>
        </w:trPr>
        <w:tc>
          <w:tcPr>
            <w:tcW w:w="14190" w:type="dxa"/>
            <w:gridSpan w:val="9"/>
            <w:tcBorders>
              <w:top w:val="nil"/>
              <w:left w:val="nil"/>
              <w:bottom w:val="nil"/>
              <w:right w:val="nil"/>
            </w:tcBorders>
            <w:shd w:val="clear" w:color="000000" w:fill="FFFFFF"/>
            <w:vAlign w:val="center"/>
          </w:tcPr>
          <w:p>
            <w:pPr>
              <w:widowControl/>
              <w:jc w:val="center"/>
              <w:rPr>
                <w:rFonts w:hint="eastAsia" w:ascii="方正小标宋简体" w:hAnsi="华文中宋" w:eastAsia="方正小标宋简体" w:cs="宋体"/>
                <w:kern w:val="0"/>
                <w:sz w:val="32"/>
                <w:szCs w:val="32"/>
              </w:rPr>
            </w:pPr>
            <w:r>
              <w:rPr>
                <w:rFonts w:hint="eastAsia" w:ascii="方正小标宋简体" w:hAnsi="华文中宋" w:eastAsia="方正小标宋简体" w:cs="宋体"/>
                <w:kern w:val="0"/>
                <w:sz w:val="36"/>
                <w:szCs w:val="32"/>
              </w:rPr>
              <w:t>国有资本经营预算财政拨款支出决算表</w:t>
            </w:r>
          </w:p>
        </w:tc>
      </w:tr>
      <w:tr>
        <w:tblPrEx>
          <w:tblLayout w:type="fixed"/>
          <w:tblCellMar>
            <w:top w:w="0" w:type="dxa"/>
            <w:left w:w="108" w:type="dxa"/>
            <w:bottom w:w="0" w:type="dxa"/>
            <w:right w:w="108" w:type="dxa"/>
          </w:tblCellMar>
        </w:tblPrEx>
        <w:trPr>
          <w:trHeight w:val="285" w:hRule="atLeast"/>
          <w:jc w:val="center"/>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Layout w:type="fixed"/>
          <w:tblCellMar>
            <w:top w:w="0" w:type="dxa"/>
            <w:left w:w="108" w:type="dxa"/>
            <w:bottom w:w="0" w:type="dxa"/>
            <w:right w:w="108" w:type="dxa"/>
          </w:tblCellMar>
        </w:tblPrEx>
        <w:trPr>
          <w:trHeight w:val="285" w:hRule="atLeast"/>
          <w:jc w:val="center"/>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Layout w:type="fixed"/>
          <w:tblCellMar>
            <w:top w:w="0" w:type="dxa"/>
            <w:left w:w="108" w:type="dxa"/>
            <w:bottom w:w="0" w:type="dxa"/>
            <w:right w:w="108" w:type="dxa"/>
          </w:tblCellMar>
        </w:tblPrEx>
        <w:trPr>
          <w:trHeight w:val="402" w:hRule="atLeast"/>
          <w:jc w:val="center"/>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Layout w:type="fixed"/>
          <w:tblCellMar>
            <w:top w:w="0" w:type="dxa"/>
            <w:left w:w="108" w:type="dxa"/>
            <w:bottom w:w="0" w:type="dxa"/>
            <w:right w:w="108" w:type="dxa"/>
          </w:tblCellMar>
        </w:tblPrEx>
        <w:trPr>
          <w:trHeight w:val="402" w:hRule="atLeast"/>
          <w:jc w:val="center"/>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Layout w:type="fixed"/>
          <w:tblCellMar>
            <w:top w:w="0" w:type="dxa"/>
            <w:left w:w="108" w:type="dxa"/>
            <w:bottom w:w="0" w:type="dxa"/>
            <w:right w:w="108" w:type="dxa"/>
          </w:tblCellMar>
        </w:tblPrEx>
        <w:trPr>
          <w:trHeight w:val="402" w:hRule="atLeast"/>
          <w:jc w:val="center"/>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02" w:hRule="atLeast"/>
          <w:jc w:val="center"/>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02" w:hRule="atLeast"/>
          <w:jc w:val="center"/>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Layout w:type="fixed"/>
          <w:tblCellMar>
            <w:top w:w="0" w:type="dxa"/>
            <w:left w:w="108" w:type="dxa"/>
            <w:bottom w:w="0" w:type="dxa"/>
            <w:right w:w="108" w:type="dxa"/>
          </w:tblCellMar>
        </w:tblPrEx>
        <w:trPr>
          <w:trHeight w:val="402" w:hRule="atLeast"/>
          <w:jc w:val="center"/>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578" w:hRule="atLeast"/>
          <w:jc w:val="center"/>
        </w:trPr>
        <w:tc>
          <w:tcPr>
            <w:tcW w:w="14190" w:type="dxa"/>
            <w:gridSpan w:val="9"/>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8"/>
                <w:szCs w:val="28"/>
              </w:rPr>
              <w:t>教科院</w:t>
            </w:r>
            <w:r>
              <w:rPr>
                <w:rFonts w:ascii="Times New Roman" w:hAnsi="Times New Roman" w:eastAsia="仿宋_GB2312" w:cs="Times New Roman"/>
                <w:kern w:val="0"/>
                <w:sz w:val="28"/>
                <w:szCs w:val="28"/>
              </w:rPr>
              <w:t>没有使用国有资本经营预算安排的支出，故本表无数据</w:t>
            </w:r>
            <w:r>
              <w:rPr>
                <w:rFonts w:hint="eastAsia" w:ascii="Times New Roman" w:hAnsi="Times New Roman" w:eastAsia="仿宋_GB2312" w:cs="Times New Roman"/>
                <w:kern w:val="0"/>
                <w:sz w:val="28"/>
                <w:szCs w:val="28"/>
              </w:rPr>
              <w:t>。</w:t>
            </w:r>
          </w:p>
        </w:tc>
      </w:tr>
      <w:tr>
        <w:tblPrEx>
          <w:tblLayout w:type="fixed"/>
          <w:tblCellMar>
            <w:top w:w="0" w:type="dxa"/>
            <w:left w:w="108" w:type="dxa"/>
            <w:bottom w:w="0" w:type="dxa"/>
            <w:right w:w="108" w:type="dxa"/>
          </w:tblCellMar>
        </w:tblPrEx>
        <w:trPr>
          <w:trHeight w:val="402" w:hRule="atLeast"/>
          <w:jc w:val="center"/>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720" w:hRule="atLeast"/>
          <w:jc w:val="center"/>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2020年度收入总计</w:t>
      </w:r>
      <w:r>
        <w:rPr>
          <w:rFonts w:hint="eastAsia" w:asciiTheme="minorEastAsia" w:hAnsiTheme="minorEastAsia" w:eastAsiaTheme="minorEastAsia"/>
          <w:sz w:val="32"/>
          <w:szCs w:val="32"/>
          <w:lang w:val="en-US" w:eastAsia="zh-CN"/>
        </w:rPr>
        <w:t>1406.11</w:t>
      </w:r>
      <w:r>
        <w:rPr>
          <w:rFonts w:hint="eastAsia" w:asciiTheme="minorEastAsia" w:hAnsiTheme="minorEastAsia" w:eastAsiaTheme="minorEastAsia"/>
          <w:sz w:val="32"/>
          <w:szCs w:val="32"/>
        </w:rPr>
        <w:t>万元，支出总计</w:t>
      </w:r>
      <w:r>
        <w:rPr>
          <w:rFonts w:hint="eastAsia" w:asciiTheme="minorEastAsia" w:hAnsiTheme="minorEastAsia" w:eastAsiaTheme="minorEastAsia"/>
          <w:sz w:val="32"/>
          <w:szCs w:val="32"/>
          <w:lang w:val="en-US" w:eastAsia="zh-CN"/>
        </w:rPr>
        <w:t>1406.11</w:t>
      </w:r>
      <w:r>
        <w:rPr>
          <w:rFonts w:hint="eastAsia" w:asciiTheme="minorEastAsia" w:hAnsiTheme="minorEastAsia" w:eastAsiaTheme="minorEastAsia"/>
          <w:sz w:val="32"/>
          <w:szCs w:val="32"/>
        </w:rPr>
        <w:t>万元。与上年相比，收入增加</w:t>
      </w:r>
      <w:r>
        <w:rPr>
          <w:rFonts w:hint="eastAsia" w:asciiTheme="minorEastAsia" w:hAnsiTheme="minorEastAsia" w:eastAsiaTheme="minorEastAsia"/>
          <w:sz w:val="32"/>
          <w:szCs w:val="32"/>
          <w:lang w:val="en-US" w:eastAsia="zh-CN"/>
        </w:rPr>
        <w:t>390.89</w:t>
      </w:r>
      <w:r>
        <w:rPr>
          <w:rFonts w:hint="eastAsia" w:asciiTheme="minorEastAsia" w:hAnsiTheme="minorEastAsia" w:eastAsiaTheme="minorEastAsia"/>
          <w:sz w:val="32"/>
          <w:szCs w:val="32"/>
        </w:rPr>
        <w:t>万元，增长35.55%，主要是因为增加了“中小学校质量监测”财政审批专项资金。总支出增加1</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6.51万元，增加13.87%，主要是增加了专项支出。</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1406</w:t>
      </w:r>
      <w:r>
        <w:rPr>
          <w:rFonts w:hint="eastAsia" w:asciiTheme="minorEastAsia" w:hAnsiTheme="minorEastAsia" w:eastAsiaTheme="minorEastAsia"/>
          <w:sz w:val="32"/>
          <w:szCs w:val="32"/>
        </w:rPr>
        <w:t>.11万元，其中：财政拨款收入</w:t>
      </w:r>
      <w:r>
        <w:rPr>
          <w:rFonts w:hint="eastAsia" w:asciiTheme="minorEastAsia" w:hAnsiTheme="minorEastAsia" w:eastAsiaTheme="minorEastAsia"/>
          <w:sz w:val="32"/>
          <w:szCs w:val="32"/>
          <w:lang w:val="en-US" w:eastAsia="zh-CN"/>
        </w:rPr>
        <w:t>1406.11</w:t>
      </w:r>
      <w:r>
        <w:rPr>
          <w:rFonts w:hint="eastAsia" w:asciiTheme="minorEastAsia" w:hAnsiTheme="minorEastAsia" w:eastAsiaTheme="minorEastAsia"/>
          <w:sz w:val="32"/>
          <w:szCs w:val="32"/>
        </w:rPr>
        <w:t>万元，占100%；</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1406.11</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1048.11</w:t>
      </w:r>
      <w:r>
        <w:rPr>
          <w:rFonts w:hint="eastAsia" w:asciiTheme="minorEastAsia" w:hAnsiTheme="minorEastAsia" w:eastAsiaTheme="minorEastAsia"/>
          <w:sz w:val="32"/>
          <w:szCs w:val="32"/>
        </w:rPr>
        <w:t>万元，占7</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%；项目支出358万元，占2</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2020年度财政拨款收入总计</w:t>
      </w:r>
      <w:r>
        <w:rPr>
          <w:rFonts w:hint="eastAsia" w:asciiTheme="minorEastAsia" w:hAnsiTheme="minorEastAsia" w:eastAsiaTheme="minorEastAsia"/>
          <w:sz w:val="32"/>
          <w:szCs w:val="32"/>
          <w:lang w:val="en-US" w:eastAsia="zh-CN"/>
        </w:rPr>
        <w:t>1406.</w:t>
      </w:r>
      <w:r>
        <w:rPr>
          <w:rFonts w:hint="eastAsia" w:asciiTheme="minorEastAsia" w:hAnsiTheme="minorEastAsia" w:eastAsiaTheme="minorEastAsia"/>
          <w:sz w:val="32"/>
          <w:szCs w:val="32"/>
        </w:rPr>
        <w:t>11万元，支出总计</w:t>
      </w:r>
      <w:r>
        <w:rPr>
          <w:rFonts w:hint="eastAsia" w:asciiTheme="minorEastAsia" w:hAnsiTheme="minorEastAsia" w:eastAsiaTheme="minorEastAsia"/>
          <w:sz w:val="32"/>
          <w:szCs w:val="32"/>
          <w:lang w:val="en-US" w:eastAsia="zh-CN"/>
        </w:rPr>
        <w:t>1406.11</w:t>
      </w:r>
      <w:r>
        <w:rPr>
          <w:rFonts w:hint="eastAsia" w:asciiTheme="minorEastAsia" w:hAnsiTheme="minorEastAsia" w:eastAsiaTheme="minorEastAsia"/>
          <w:sz w:val="32"/>
          <w:szCs w:val="32"/>
        </w:rPr>
        <w:t>万元。与上年相比，收入增加3</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0.89万元，增长35.55%，主要是因为增加了“中小学校质量监测”财政审批专项资金。总支出增加1</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6.51万元，增加13.87%，主要是增加了专项支出。</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1406.11</w:t>
      </w:r>
      <w:r>
        <w:rPr>
          <w:rFonts w:hint="eastAsia" w:asciiTheme="minorEastAsia" w:hAnsiTheme="minorEastAsia" w:eastAsiaTheme="minorEastAsia"/>
          <w:sz w:val="32"/>
          <w:szCs w:val="32"/>
        </w:rPr>
        <w:t>万元，占本年支出合计的100%，与上年相比，财政拨款支出增加1</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6.51万元，增长13.87%，主要是因为项支出</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rPr>
        <w:t>。</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1406.11</w:t>
      </w:r>
      <w:r>
        <w:rPr>
          <w:rFonts w:hint="eastAsia" w:asciiTheme="minorEastAsia" w:hAnsiTheme="minorEastAsia" w:eastAsiaTheme="minorEastAsia"/>
          <w:sz w:val="32"/>
          <w:szCs w:val="32"/>
        </w:rPr>
        <w:t>万元，主要用于以下方面：教育（类）支出11</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8.64万元，占8</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%;社会保障和就业支出75.49万元，占5%；卫生健康支出27.06万元，占2%；住房保障支出43.78万元，占3%</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2020年度财政拨款支出年初预算数为890.50万元，支出决算数为1284.97万元，完成年初预算的144%，其中：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1、教育支出。</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年初预算为761.29万元，支出决算为1138.64万元，完成年初预算的149%，决算数大于年初预算数的主要原因是：增加了专项支出。</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2、社会保障和就业支出。</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年初预算为58.37万元，支出决算为75.49万元，完成年初预算的129%，决算数大于年初预算数的主要原因是：标准提高。</w:t>
      </w:r>
    </w:p>
    <w:p>
      <w:pPr>
        <w:pStyle w:val="10"/>
        <w:numPr>
          <w:ilvl w:val="0"/>
          <w:numId w:val="2"/>
        </w:numPr>
        <w:ind w:firstLine="800" w:firstLineChars="250"/>
        <w:rPr>
          <w:rFonts w:hAnsi="黑体" w:eastAsia="宋体" w:cs="宋体"/>
          <w:color w:val="000000" w:themeColor="text1"/>
          <w:sz w:val="32"/>
          <w:szCs w:val="32"/>
          <w14:textFill>
            <w14:solidFill>
              <w14:schemeClr w14:val="tx1"/>
            </w14:solidFill>
          </w14:textFill>
        </w:rPr>
      </w:pPr>
      <w:r>
        <w:rPr>
          <w:rFonts w:hint="eastAsia" w:hAnsi="黑体" w:eastAsia="宋体" w:cs="宋体"/>
          <w:color w:val="000000" w:themeColor="text1"/>
          <w:sz w:val="32"/>
          <w:szCs w:val="32"/>
          <w14:textFill>
            <w14:solidFill>
              <w14:schemeClr w14:val="tx1"/>
            </w14:solidFill>
          </w14:textFill>
        </w:rPr>
        <w:t>卫生健康支出</w:t>
      </w:r>
    </w:p>
    <w:p>
      <w:pPr>
        <w:pStyle w:val="10"/>
        <w:ind w:firstLine="960" w:firstLineChars="300"/>
        <w:rPr>
          <w:rFonts w:hAnsi="黑体" w:eastAsia="宋体" w:cs="宋体"/>
          <w:color w:val="000000" w:themeColor="text1"/>
          <w:sz w:val="32"/>
          <w:szCs w:val="32"/>
          <w14:textFill>
            <w14:solidFill>
              <w14:schemeClr w14:val="tx1"/>
            </w14:solidFill>
          </w14:textFill>
        </w:rPr>
      </w:pPr>
      <w:r>
        <w:rPr>
          <w:rFonts w:hint="eastAsia" w:asciiTheme="minorEastAsia" w:hAnsiTheme="minorEastAsia" w:eastAsiaTheme="minorEastAsia"/>
          <w:sz w:val="32"/>
          <w:szCs w:val="32"/>
        </w:rPr>
        <w:t>年初预算为</w:t>
      </w:r>
      <w:r>
        <w:rPr>
          <w:rFonts w:hint="eastAsia" w:hAnsi="黑体" w:eastAsia="宋体" w:cs="宋体"/>
          <w:color w:val="000000" w:themeColor="text1"/>
          <w:sz w:val="32"/>
          <w:szCs w:val="32"/>
          <w14:textFill>
            <w14:solidFill>
              <w14:schemeClr w14:val="tx1"/>
            </w14:solidFill>
          </w14:textFill>
        </w:rPr>
        <w:t>27.06万元，支出决算27.06万元，完成年初预算的100%。</w:t>
      </w:r>
    </w:p>
    <w:p>
      <w:pPr>
        <w:pStyle w:val="10"/>
        <w:numPr>
          <w:ilvl w:val="0"/>
          <w:numId w:val="2"/>
        </w:numPr>
        <w:ind w:firstLine="800" w:firstLineChars="250"/>
        <w:rPr>
          <w:rFonts w:hAnsi="黑体" w:eastAsia="宋体" w:cs="宋体"/>
          <w:color w:val="000000" w:themeColor="text1"/>
          <w:sz w:val="32"/>
          <w:szCs w:val="32"/>
          <w14:textFill>
            <w14:solidFill>
              <w14:schemeClr w14:val="tx1"/>
            </w14:solidFill>
          </w14:textFill>
        </w:rPr>
      </w:pPr>
      <w:r>
        <w:rPr>
          <w:rFonts w:hint="eastAsia" w:hAnsi="黑体" w:eastAsia="宋体" w:cs="宋体"/>
          <w:color w:val="000000" w:themeColor="text1"/>
          <w:sz w:val="32"/>
          <w:szCs w:val="32"/>
          <w14:textFill>
            <w14:solidFill>
              <w14:schemeClr w14:val="tx1"/>
            </w14:solidFill>
          </w14:textFill>
        </w:rPr>
        <w:t>住房保障支出</w:t>
      </w:r>
    </w:p>
    <w:p>
      <w:pPr>
        <w:pStyle w:val="10"/>
        <w:ind w:firstLine="960" w:firstLineChars="300"/>
        <w:rPr>
          <w:rFonts w:hAnsi="黑体" w:cs="宋体"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sz w:val="32"/>
          <w:szCs w:val="32"/>
        </w:rPr>
        <w:t>年初预算为43.78万元，支出决算43.78万元，完成年初预算的100%。</w:t>
      </w:r>
    </w:p>
    <w:p>
      <w:pPr>
        <w:pStyle w:val="10"/>
        <w:numPr>
          <w:ilvl w:val="0"/>
          <w:numId w:val="3"/>
        </w:numPr>
        <w:ind w:firstLine="640" w:firstLineChars="200"/>
        <w:rPr>
          <w:rFonts w:hAnsi="黑体" w:cs="宋体"/>
          <w:color w:val="FFFFFF" w:themeColor="background1"/>
          <w:sz w:val="32"/>
          <w:szCs w:val="32"/>
          <w14:textFill>
            <w14:solidFill>
              <w14:schemeClr w14:val="bg1"/>
            </w14:solidFill>
          </w14:textFill>
        </w:rPr>
      </w:pPr>
      <w:r>
        <w:rPr>
          <w:rFonts w:hint="eastAsia" w:hAnsi="黑体" w:eastAsia="宋体" w:cs="宋体"/>
          <w:color w:val="FFFFFF" w:themeColor="background1"/>
          <w:sz w:val="32"/>
          <w:szCs w:val="32"/>
          <w14:textFill>
            <w14:solidFill>
              <w14:schemeClr w14:val="bg1"/>
            </w14:solidFill>
          </w14:textFill>
        </w:rPr>
        <w:t>、</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926.97万元，其中：人员经费768.54万元，占基本支出的82%,主要包括基本工资、津贴补贴、奖金、伙食补助费等等；公用经费158.43万元，占基本支出的17%，主要包括办公费、印刷费、咨询费、手续费等。</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“三公”经费财政拨款支出预算为5.5万元，支出决算为2.3万元，完成预算的41%，其中：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公务接待费支出预算为5.5万元，支出决算为2.3万元，完成预算的41%，决算数小于预算数的主要原因是接待减少，与上年相比减少0.5万元，减少减少的主要原因是接待减少。</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2020年度“三公”经费财政拨款支出决算中，公务接待费支出决算2.3万元，占100%,因公出国（境）费支出决算0万元，占0%,公务用车购置费及运行维护费支出决算0万元，占0%。其中：</w:t>
      </w:r>
    </w:p>
    <w:p>
      <w:pPr>
        <w:pStyle w:val="10"/>
        <w:numPr>
          <w:ilvl w:val="0"/>
          <w:numId w:val="4"/>
        </w:numPr>
        <w:ind w:firstLine="64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因公出国（境）费支出决算为0万元，全年安排因公出国（境）团组0个，累计0人次。</w:t>
      </w:r>
    </w:p>
    <w:p>
      <w:pPr>
        <w:pStyle w:val="10"/>
        <w:ind w:left="10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2、公务接待费支出决算为2.3万元，全年共接待来访团组50个、来宾1500人次，主要是小学、初中、高中教师培训活动发生的接待支出。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3、公务用车购置费及运行维护费支出决算为0万元，其中：公务用车购置费0元</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公务用车运行维护费0万元，、截止2020年12月31日，我单位开支财政拨款的公务用车保有量为0辆。</w:t>
      </w:r>
    </w:p>
    <w:p>
      <w:pPr>
        <w:pStyle w:val="10"/>
        <w:rPr>
          <w:rFonts w:hAnsi="黑体"/>
          <w:b/>
          <w:sz w:val="32"/>
          <w:szCs w:val="32"/>
        </w:rPr>
      </w:pPr>
      <w:r>
        <w:rPr>
          <w:rFonts w:hint="eastAsia" w:hAnsi="黑体"/>
          <w:b/>
          <w:sz w:val="32"/>
          <w:szCs w:val="32"/>
        </w:rPr>
        <w:t>八、政府性基金预算收入支出决算情况</w:t>
      </w:r>
    </w:p>
    <w:p>
      <w:pPr>
        <w:pStyle w:val="10"/>
        <w:ind w:firstLine="640" w:firstLineChars="200"/>
        <w:rPr>
          <w:rFonts w:asciiTheme="minorEastAsia" w:hAnsiTheme="minorEastAsia" w:eastAsiaTheme="minorEastAsia"/>
          <w:i/>
          <w:color w:val="000000" w:themeColor="text1"/>
          <w:sz w:val="32"/>
          <w:szCs w:val="32"/>
          <w14:textFill>
            <w14:solidFill>
              <w14:schemeClr w14:val="tx1"/>
            </w14:solidFill>
          </w14:textFill>
        </w:rPr>
      </w:pPr>
      <w:r>
        <w:rPr>
          <w:rFonts w:hint="eastAsia" w:asciiTheme="minorEastAsia" w:hAnsiTheme="minorEastAsia" w:eastAsiaTheme="minorEastAsia"/>
          <w:i/>
          <w:color w:val="000000" w:themeColor="text1"/>
          <w:sz w:val="32"/>
          <w:szCs w:val="32"/>
          <w14:textFill>
            <w14:solidFill>
              <w14:schemeClr w14:val="tx1"/>
            </w14:solidFill>
          </w14:textFill>
        </w:rPr>
        <w:t>本单位无政府性基金收支</w:t>
      </w:r>
    </w:p>
    <w:p>
      <w:pPr>
        <w:pStyle w:val="10"/>
        <w:rPr>
          <w:rFonts w:hAnsi="黑体"/>
          <w:b/>
          <w:sz w:val="32"/>
          <w:szCs w:val="32"/>
        </w:rPr>
      </w:pPr>
      <w:r>
        <w:rPr>
          <w:rFonts w:hint="eastAsia" w:hAnsi="黑体"/>
          <w:b/>
          <w:sz w:val="32"/>
          <w:szCs w:val="32"/>
        </w:rPr>
        <w:t>九、国有资本经营预算财政拨款支出决算情况</w:t>
      </w:r>
    </w:p>
    <w:p>
      <w:pPr>
        <w:pStyle w:val="10"/>
        <w:ind w:firstLine="640" w:firstLineChars="200"/>
        <w:rPr>
          <w:rFonts w:hAnsi="黑体"/>
          <w:b/>
          <w:sz w:val="32"/>
          <w:szCs w:val="32"/>
        </w:rPr>
      </w:pPr>
      <w:r>
        <w:rPr>
          <w:rFonts w:hint="eastAsia" w:asciiTheme="minorEastAsia" w:hAnsiTheme="minorEastAsia" w:eastAsiaTheme="minorEastAsia"/>
          <w:sz w:val="32"/>
          <w:szCs w:val="32"/>
        </w:rPr>
        <w:t>本单位无国有资本经营预算财政拨款支出</w:t>
      </w:r>
      <w:r>
        <w:rPr>
          <w:rFonts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十、关于机关运行经费支出说明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本部门2020年度机关运行经费支出158.43万元，比年初预算数增加11.40 万元，增长7.75%。主要原因是：增加一项“中小学质量监测”财政审批专项经费，导致印刷费增加。</w:t>
      </w:r>
    </w:p>
    <w:p>
      <w:pPr>
        <w:pStyle w:val="10"/>
        <w:rPr>
          <w:rFonts w:hAnsi="黑体"/>
          <w:b/>
          <w:sz w:val="32"/>
          <w:szCs w:val="32"/>
        </w:rPr>
      </w:pPr>
      <w:r>
        <w:rPr>
          <w:rFonts w:hint="eastAsia" w:hAnsi="黑体"/>
          <w:b/>
          <w:sz w:val="32"/>
          <w:szCs w:val="32"/>
        </w:rPr>
        <w:t>十一、一般性支出情况</w:t>
      </w:r>
    </w:p>
    <w:p>
      <w:pPr>
        <w:pStyle w:val="10"/>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2020年未举办节庆、晚会、论坛等活动，</w:t>
      </w:r>
      <w:r>
        <w:rPr>
          <w:rFonts w:hint="eastAsia" w:asciiTheme="minorEastAsia" w:hAnsiTheme="minorEastAsia" w:eastAsiaTheme="minorEastAsia"/>
          <w:sz w:val="32"/>
          <w:szCs w:val="32"/>
        </w:rPr>
        <w:t>开支4.47万元，</w:t>
      </w:r>
      <w:r>
        <w:rPr>
          <w:rFonts w:hint="eastAsia" w:asciiTheme="minorEastAsia" w:hAnsiTheme="minorEastAsia" w:eastAsiaTheme="minorEastAsia"/>
          <w:sz w:val="32"/>
          <w:szCs w:val="32"/>
          <w:lang w:eastAsia="zh-CN"/>
        </w:rPr>
        <w:t>主要是</w:t>
      </w:r>
      <w:r>
        <w:rPr>
          <w:rFonts w:hint="eastAsia" w:asciiTheme="minorEastAsia" w:hAnsiTheme="minorEastAsia" w:eastAsiaTheme="minorEastAsia"/>
          <w:sz w:val="32"/>
          <w:szCs w:val="32"/>
        </w:rPr>
        <w:t>用于召开高中教师培训会议，人数1000人，内容为高三学科培训；开支培训费2.70万元，用于开展中小学教师培训，人数5000人，内容为全市中小学教师新教材培训；</w:t>
      </w:r>
    </w:p>
    <w:p>
      <w:pPr>
        <w:pStyle w:val="10"/>
        <w:rPr>
          <w:rFonts w:hAnsi="黑体"/>
          <w:b/>
          <w:sz w:val="32"/>
          <w:szCs w:val="32"/>
        </w:rPr>
      </w:pPr>
      <w:r>
        <w:rPr>
          <w:rFonts w:hint="eastAsia" w:hAnsi="黑体"/>
          <w:b/>
          <w:sz w:val="32"/>
          <w:szCs w:val="32"/>
        </w:rPr>
        <w:t>十二、关于政府采购支出说明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本部门2020年度没有政府采购支出。</w:t>
      </w:r>
    </w:p>
    <w:p>
      <w:pPr>
        <w:pStyle w:val="10"/>
        <w:rPr>
          <w:rFonts w:hAnsi="黑体"/>
          <w:b/>
          <w:sz w:val="32"/>
          <w:szCs w:val="32"/>
        </w:rPr>
      </w:pPr>
      <w:r>
        <w:rPr>
          <w:rFonts w:hint="eastAsia" w:hAnsi="黑体"/>
          <w:b/>
          <w:sz w:val="32"/>
          <w:szCs w:val="32"/>
        </w:rPr>
        <w:t>十三、关于国有资产占用情况说明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截至2020年12月31日，本单位没有车辆。单位价值50万元以上通用设备没有；单位价值100万元以上专用设备没有。</w:t>
      </w:r>
    </w:p>
    <w:p>
      <w:pPr>
        <w:pStyle w:val="10"/>
        <w:rPr>
          <w:rFonts w:hAnsi="黑体"/>
          <w:b/>
          <w:sz w:val="32"/>
          <w:szCs w:val="32"/>
        </w:rPr>
      </w:pPr>
      <w:r>
        <w:rPr>
          <w:rFonts w:hint="eastAsia" w:hAnsi="黑体"/>
          <w:b/>
          <w:sz w:val="32"/>
          <w:szCs w:val="32"/>
        </w:rPr>
        <w:t>十四、关于2020年度预算绩效情况的说明</w:t>
      </w:r>
    </w:p>
    <w:p>
      <w:pPr>
        <w:pStyle w:val="10"/>
        <w:ind w:firstLine="960" w:firstLineChars="300"/>
        <w:rPr>
          <w:rFonts w:hint="eastAsia" w:hAnsi="黑体" w:eastAsiaTheme="minorEastAsia"/>
          <w:b/>
          <w:sz w:val="32"/>
          <w:szCs w:val="32"/>
          <w:lang w:val="en-US" w:eastAsia="zh-CN"/>
        </w:rPr>
      </w:pPr>
      <w:r>
        <w:rPr>
          <w:rFonts w:hint="eastAsia" w:asciiTheme="minorEastAsia" w:hAnsiTheme="minorEastAsia" w:eastAsiaTheme="minorEastAsia"/>
          <w:sz w:val="32"/>
          <w:szCs w:val="32"/>
        </w:rPr>
        <w:t>按照财政绩效部门要求已公开</w:t>
      </w:r>
      <w:r>
        <w:rPr>
          <w:rFonts w:hint="eastAsia" w:asciiTheme="minorEastAsia" w:hAnsiTheme="minorEastAsia" w:eastAsiaTheme="minorEastAsia"/>
          <w:sz w:val="32"/>
          <w:szCs w:val="32"/>
          <w:lang w:eastAsia="zh-CN"/>
        </w:rPr>
        <w:t>。</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pStyle w:val="10"/>
        <w:jc w:val="center"/>
        <w:rPr>
          <w:rFonts w:hint="eastAsia" w:eastAsia="宋体"/>
          <w:sz w:val="32"/>
          <w:szCs w:val="72"/>
          <w:lang w:eastAsia="zh-CN"/>
        </w:rPr>
      </w:pPr>
      <w:r>
        <w:rPr>
          <w:rFonts w:hint="eastAsia" w:eastAsia="宋体"/>
          <w:sz w:val="32"/>
          <w:szCs w:val="72"/>
          <w:lang w:eastAsia="zh-CN"/>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10"/>
        <w:jc w:val="center"/>
        <w:rPr>
          <w:rFonts w:hint="eastAsia" w:eastAsia="宋体"/>
          <w:sz w:val="32"/>
          <w:szCs w:val="72"/>
          <w:lang w:eastAsia="zh-CN"/>
        </w:rPr>
      </w:pPr>
      <w:r>
        <w:rPr>
          <w:rFonts w:hint="eastAsia" w:eastAsia="宋体"/>
          <w:sz w:val="32"/>
          <w:szCs w:val="72"/>
          <w:lang w:eastAsia="zh-CN"/>
        </w:rPr>
        <w:t>2、“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w:t>
      </w:r>
      <w:bookmarkStart w:id="1" w:name="_GoBack"/>
      <w:bookmarkEnd w:id="1"/>
      <w:r>
        <w:rPr>
          <w:rFonts w:hint="eastAsia" w:eastAsia="宋体"/>
          <w:sz w:val="32"/>
          <w:szCs w:val="72"/>
          <w:lang w:eastAsia="zh-CN"/>
        </w:rPr>
        <w:t>国际旅费、国外城市间交通费、食宿费等支出。</w:t>
      </w:r>
    </w:p>
    <w:p>
      <w:pPr>
        <w:pStyle w:val="10"/>
        <w:jc w:val="center"/>
        <w:rPr>
          <w:rFonts w:hint="eastAsia" w:eastAsia="宋体"/>
          <w:sz w:val="32"/>
          <w:szCs w:val="72"/>
          <w:lang w:eastAsia="zh-CN"/>
        </w:rPr>
      </w:pPr>
    </w:p>
    <w:p>
      <w:pPr>
        <w:pStyle w:val="10"/>
        <w:jc w:val="center"/>
        <w:rPr>
          <w:rFonts w:hint="default" w:eastAsia="宋体"/>
          <w:sz w:val="32"/>
          <w:szCs w:val="72"/>
          <w:lang w:val="en-US" w:eastAsia="zh-CN"/>
        </w:rPr>
      </w:pPr>
      <w:r>
        <w:rPr>
          <w:rFonts w:hint="eastAsia" w:eastAsia="宋体"/>
          <w:sz w:val="32"/>
          <w:szCs w:val="72"/>
          <w:lang w:val="en-US" w:eastAsia="zh-CN"/>
        </w:rPr>
        <w:t xml:space="preserve">                               2021-8-31</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pStyle w:val="5"/>
        <w:shd w:val="clear" w:color="auto" w:fill="FFFFFF"/>
        <w:spacing w:before="0" w:beforeAutospacing="0" w:after="0" w:afterAutospacing="0"/>
        <w:ind w:firstLine="560"/>
        <w:rPr>
          <w:rFonts w:hint="eastAsia" w:ascii="仿宋_GB2312" w:hAnsi="仿宋" w:eastAsia="仿宋_GB2312"/>
          <w:color w:val="000000"/>
          <w:sz w:val="30"/>
          <w:szCs w:val="30"/>
        </w:rPr>
      </w:pPr>
      <w:r>
        <w:rPr>
          <w:rFonts w:cs="黑体" w:asciiTheme="minorEastAsia" w:hAnsiTheme="minorEastAsia"/>
          <w:color w:val="000000"/>
          <w:kern w:val="0"/>
          <w:sz w:val="32"/>
          <w:szCs w:val="32"/>
        </w:rPr>
        <w:br w:type="page"/>
      </w:r>
      <w:r>
        <w:rPr>
          <w:rFonts w:hint="eastAsia" w:ascii="仿宋_GB2312" w:hAnsi="仿宋" w:eastAsia="仿宋_GB2312"/>
          <w:color w:val="000000"/>
          <w:sz w:val="30"/>
          <w:szCs w:val="30"/>
          <w:lang w:eastAsia="zh-CN"/>
        </w:rPr>
        <w:t>2020</w:t>
      </w:r>
      <w:r>
        <w:rPr>
          <w:rFonts w:hint="eastAsia" w:ascii="仿宋_GB2312" w:hAnsi="仿宋" w:eastAsia="仿宋_GB2312"/>
          <w:color w:val="000000"/>
          <w:sz w:val="30"/>
          <w:szCs w:val="30"/>
        </w:rPr>
        <w:t>年，岳阳市教育科学技术研究院</w:t>
      </w:r>
      <w:r>
        <w:rPr>
          <w:rFonts w:hint="eastAsia" w:ascii="楷体_GB2312" w:hAnsi="仿宋" w:eastAsia="楷体_GB2312"/>
          <w:color w:val="000000"/>
          <w:sz w:val="30"/>
          <w:szCs w:val="30"/>
        </w:rPr>
        <w:t>（以下简称岳阳市教科院）</w:t>
      </w:r>
      <w:r>
        <w:rPr>
          <w:rFonts w:hint="eastAsia" w:ascii="仿宋_GB2312" w:hAnsi="仿宋" w:eastAsia="仿宋_GB2312"/>
          <w:color w:val="000000"/>
          <w:sz w:val="30"/>
          <w:szCs w:val="30"/>
        </w:rPr>
        <w:t>在市教育体育局的坚强领导下，在省教科院、省电教馆、省装备处、省信息中心、省教育学会等多家省级部门的有力指导下，积极履行“研究、指导、服务”的工作职能，取得了一定的成效。现将一年来的工作简要总结如下：</w:t>
      </w:r>
    </w:p>
    <w:p>
      <w:pPr>
        <w:pStyle w:val="5"/>
        <w:shd w:val="clear" w:color="auto" w:fill="FFFFFF"/>
        <w:spacing w:before="0" w:beforeAutospacing="0" w:after="0" w:afterAutospacing="0"/>
        <w:ind w:firstLine="562"/>
        <w:rPr>
          <w:rFonts w:hint="eastAsia" w:ascii="黑体" w:hAnsi="黑体" w:eastAsia="黑体"/>
          <w:bCs/>
          <w:color w:val="000000"/>
          <w:sz w:val="30"/>
          <w:szCs w:val="30"/>
        </w:rPr>
      </w:pPr>
      <w:r>
        <w:rPr>
          <w:rFonts w:hint="eastAsia" w:ascii="黑体" w:hAnsi="黑体" w:eastAsia="黑体"/>
          <w:bCs/>
          <w:color w:val="000000"/>
          <w:sz w:val="30"/>
          <w:szCs w:val="30"/>
        </w:rPr>
        <w:t>一、以加强党建工作为龙头，内强素质</w:t>
      </w:r>
    </w:p>
    <w:p>
      <w:pPr>
        <w:pStyle w:val="5"/>
        <w:shd w:val="clear" w:color="auto" w:fill="FFFFFF"/>
        <w:spacing w:before="0" w:beforeAutospacing="0" w:after="0" w:afterAutospacing="0"/>
        <w:ind w:firstLine="562"/>
        <w:rPr>
          <w:rFonts w:hint="eastAsia" w:ascii="仿宋_GB2312" w:hAnsi="仿宋" w:eastAsia="仿宋_GB2312"/>
          <w:color w:val="000000"/>
          <w:sz w:val="30"/>
          <w:szCs w:val="30"/>
        </w:rPr>
      </w:pPr>
      <w:r>
        <w:rPr>
          <w:rFonts w:hint="eastAsia" w:ascii="楷体_GB2312" w:hAnsi="仿宋" w:eastAsia="楷体_GB2312"/>
          <w:b/>
          <w:bCs/>
          <w:color w:val="000000"/>
          <w:sz w:val="30"/>
          <w:szCs w:val="30"/>
        </w:rPr>
        <w:t>1.</w:t>
      </w:r>
      <w:r>
        <w:rPr>
          <w:rFonts w:hint="eastAsia" w:ascii="楷体_GB2312" w:hAnsi="仿宋" w:eastAsia="楷体_GB2312"/>
          <w:b/>
          <w:color w:val="000000"/>
          <w:sz w:val="30"/>
          <w:szCs w:val="30"/>
        </w:rPr>
        <w:t>强化基本规范教育。</w:t>
      </w:r>
      <w:r>
        <w:rPr>
          <w:rFonts w:hint="eastAsia" w:ascii="仿宋_GB2312" w:hAnsi="仿宋" w:eastAsia="仿宋_GB2312"/>
          <w:color w:val="000000"/>
          <w:sz w:val="30"/>
          <w:szCs w:val="30"/>
        </w:rPr>
        <w:t>今年以来，新任院长</w:t>
      </w:r>
      <w:r>
        <w:rPr>
          <w:rFonts w:hint="eastAsia" w:ascii="仿宋_GB2312" w:hAnsi="仿宋" w:eastAsia="仿宋_GB2312"/>
          <w:color w:val="000000"/>
          <w:sz w:val="30"/>
          <w:szCs w:val="30"/>
          <w:lang w:eastAsia="zh-CN"/>
        </w:rPr>
        <w:t>李伟灵</w:t>
      </w:r>
      <w:r>
        <w:rPr>
          <w:rFonts w:hint="eastAsia" w:ascii="仿宋_GB2312" w:hAnsi="仿宋" w:eastAsia="仿宋_GB2312"/>
          <w:color w:val="000000"/>
          <w:sz w:val="30"/>
          <w:szCs w:val="30"/>
        </w:rPr>
        <w:t>同志到任伊始，马上将纪律意识、规矩意识、制度意识等挺立在前面，促进我院改进工作方法，形成优良作风，优化工作程序。经过一年来的努力，全体教研与技术工作人员的服务意识、工作实力、执行能力得到了明显的提升。</w:t>
      </w:r>
    </w:p>
    <w:p>
      <w:pPr>
        <w:pStyle w:val="5"/>
        <w:shd w:val="clear" w:color="auto" w:fill="FFFFFF"/>
        <w:spacing w:before="0" w:beforeAutospacing="0" w:after="0" w:afterAutospacing="0"/>
        <w:ind w:firstLine="562"/>
        <w:rPr>
          <w:rFonts w:hint="eastAsia" w:ascii="仿宋_GB2312" w:hAnsi="仿宋" w:eastAsia="仿宋_GB2312"/>
          <w:color w:val="000000"/>
          <w:sz w:val="30"/>
          <w:szCs w:val="30"/>
        </w:rPr>
      </w:pPr>
      <w:r>
        <w:rPr>
          <w:rFonts w:hint="eastAsia" w:ascii="楷体_GB2312" w:hAnsi="仿宋" w:eastAsia="楷体_GB2312"/>
          <w:b/>
          <w:bCs/>
          <w:color w:val="000000"/>
          <w:sz w:val="30"/>
          <w:szCs w:val="30"/>
        </w:rPr>
        <w:t>2.强化党支部建设工作。</w:t>
      </w:r>
      <w:r>
        <w:rPr>
          <w:rFonts w:hint="eastAsia" w:ascii="仿宋_GB2312" w:hAnsi="仿宋" w:eastAsia="仿宋_GB2312"/>
          <w:color w:val="000000"/>
          <w:sz w:val="30"/>
          <w:szCs w:val="30"/>
        </w:rPr>
        <w:t>坚持开展党支部设置标准化、组织生活正常化、建管理服务精细化、工作制度体系化、阵地建设规范化的建设，建立党员活动室，整理党员学习资料，积极组织党员学习，加强党员思想教育。开展党员主题学习活动，赴湖北洪湖革命根据地重温党的誓词，接受革命传统教育，强化了教研员的职业使命与责任担当。</w:t>
      </w:r>
    </w:p>
    <w:p>
      <w:pPr>
        <w:pStyle w:val="5"/>
        <w:shd w:val="clear" w:color="auto" w:fill="FFFFFF"/>
        <w:spacing w:before="0" w:beforeAutospacing="0" w:after="0" w:afterAutospacing="0"/>
        <w:ind w:firstLine="562"/>
        <w:rPr>
          <w:rFonts w:hint="eastAsia" w:ascii="仿宋_GB2312" w:hAnsi="仿宋" w:eastAsia="仿宋_GB2312"/>
          <w:color w:val="000000"/>
          <w:sz w:val="30"/>
          <w:szCs w:val="30"/>
        </w:rPr>
      </w:pPr>
      <w:r>
        <w:rPr>
          <w:rFonts w:hint="eastAsia" w:ascii="楷体_GB2312" w:hAnsi="仿宋" w:eastAsia="楷体_GB2312"/>
          <w:b/>
          <w:bCs/>
          <w:color w:val="000000"/>
          <w:sz w:val="30"/>
          <w:szCs w:val="30"/>
        </w:rPr>
        <w:t>3.强化</w:t>
      </w:r>
      <w:r>
        <w:rPr>
          <w:rFonts w:hint="eastAsia" w:ascii="楷体_GB2312" w:hAnsi="仿宋" w:eastAsia="楷体_GB2312"/>
          <w:b/>
          <w:color w:val="000000"/>
          <w:sz w:val="30"/>
          <w:szCs w:val="30"/>
        </w:rPr>
        <w:t>专业能力培训。</w:t>
      </w:r>
      <w:r>
        <w:rPr>
          <w:rFonts w:hint="eastAsia" w:ascii="仿宋_GB2312" w:hAnsi="仿宋" w:eastAsia="仿宋_GB2312"/>
          <w:color w:val="000000"/>
          <w:sz w:val="30"/>
          <w:szCs w:val="30"/>
        </w:rPr>
        <w:t>从调查研究与调研文章、教育公文处理、学校需要什么样的教研、学校发展与教研员核心引领四个方面入手，组织了系列教研员专业能力提升培训。设计了教科院LOG、PPT通用模板。开展教研员PPT、美篇、思维导图学习竞赛活动，教研员专业能力得到提升。</w:t>
      </w:r>
    </w:p>
    <w:p>
      <w:pPr>
        <w:ind w:firstLine="600" w:firstLineChars="200"/>
        <w:rPr>
          <w:rFonts w:ascii="黑体" w:hAnsi="黑体" w:eastAsia="黑体"/>
          <w:sz w:val="30"/>
          <w:szCs w:val="30"/>
        </w:rPr>
      </w:pPr>
      <w:r>
        <w:rPr>
          <w:rFonts w:hint="eastAsia" w:ascii="黑体" w:hAnsi="黑体" w:eastAsia="黑体"/>
          <w:sz w:val="30"/>
          <w:szCs w:val="30"/>
        </w:rPr>
        <w:t>二、以加强科研业务为抓手，外树单位形象</w:t>
      </w:r>
    </w:p>
    <w:p>
      <w:pPr>
        <w:ind w:firstLine="600" w:firstLineChars="200"/>
        <w:rPr>
          <w:rFonts w:hint="eastAsia" w:ascii="楷体_GB2312" w:hAnsi="楷体" w:eastAsia="楷体_GB2312"/>
          <w:b/>
          <w:sz w:val="30"/>
          <w:szCs w:val="30"/>
        </w:rPr>
      </w:pPr>
      <w:r>
        <w:rPr>
          <w:rFonts w:hint="eastAsia" w:ascii="楷体_GB2312" w:hAnsi="楷体" w:eastAsia="楷体_GB2312"/>
          <w:b/>
          <w:sz w:val="30"/>
          <w:szCs w:val="30"/>
        </w:rPr>
        <w:t>1.加强中考改革研究，持续推进义务教育课堂教学改革</w:t>
      </w:r>
    </w:p>
    <w:p>
      <w:pPr>
        <w:ind w:firstLine="600" w:firstLineChars="200"/>
        <w:rPr>
          <w:rFonts w:ascii="仿宋_GB2312" w:hAnsi="仿宋_GB2312" w:eastAsia="仿宋_GB2312"/>
          <w:sz w:val="30"/>
          <w:szCs w:val="30"/>
        </w:rPr>
      </w:pPr>
      <w:r>
        <w:rPr>
          <w:rFonts w:hint="eastAsia" w:ascii="仿宋_GB2312" w:hAnsi="楷体" w:eastAsia="仿宋_GB2312"/>
          <w:b/>
          <w:sz w:val="30"/>
          <w:szCs w:val="30"/>
        </w:rPr>
        <w:t>一是深入开展中考改革系列调查研究工作。</w:t>
      </w:r>
      <w:r>
        <w:rPr>
          <w:rFonts w:hint="eastAsia" w:ascii="仿宋_GB2312" w:hAnsi="楷体" w:eastAsia="仿宋_GB2312"/>
          <w:sz w:val="30"/>
          <w:szCs w:val="30"/>
        </w:rPr>
        <w:t>组织学习研究上海、北京等地中考试卷及方案，在多次进行初中毕业学业水平考试改革调研及座谈的基础上，初拟了《岳阳市初中毕业学业考试改革方案》。</w:t>
      </w:r>
      <w:r>
        <w:rPr>
          <w:rFonts w:hint="eastAsia" w:ascii="仿宋_GB2312" w:hAnsi="楷体" w:eastAsia="仿宋_GB2312"/>
          <w:b/>
          <w:sz w:val="30"/>
          <w:szCs w:val="30"/>
        </w:rPr>
        <w:t>二是深入推进义务教育课堂教学改革。</w:t>
      </w:r>
      <w:r>
        <w:rPr>
          <w:rFonts w:hint="eastAsia" w:ascii="仿宋_GB2312" w:hAnsi="楷体" w:eastAsia="仿宋_GB2312"/>
          <w:sz w:val="30"/>
          <w:szCs w:val="30"/>
        </w:rPr>
        <w:t>通过</w:t>
      </w:r>
      <w:r>
        <w:rPr>
          <w:rFonts w:hint="eastAsia" w:ascii="仿宋_GB2312" w:hAnsi="仿宋_GB2312" w:eastAsia="仿宋_GB2312"/>
          <w:sz w:val="30"/>
          <w:szCs w:val="30"/>
        </w:rPr>
        <w:t>打造区域课堂教学改革样本、全面推进课堂教学人人达标、加强备课组（教研组）建设、健全骨干教师示范教学制度、</w:t>
      </w:r>
      <w:r>
        <w:rPr>
          <w:rFonts w:hint="eastAsia" w:ascii="仿宋_GB2312" w:hAnsi="仿宋_GB2312" w:eastAsia="仿宋_GB2312" w:cs="Arial"/>
          <w:sz w:val="30"/>
          <w:szCs w:val="30"/>
        </w:rPr>
        <w:t>开展</w:t>
      </w:r>
      <w:r>
        <w:rPr>
          <w:rFonts w:hint="eastAsia" w:ascii="仿宋_GB2312" w:hAnsi="仿宋_GB2312" w:eastAsia="仿宋_GB2312" w:cs="宋体"/>
          <w:kern w:val="0"/>
          <w:sz w:val="30"/>
          <w:szCs w:val="30"/>
        </w:rPr>
        <w:t>教师课改能力提升培训、</w:t>
      </w:r>
      <w:r>
        <w:rPr>
          <w:rFonts w:hint="eastAsia" w:ascii="仿宋_GB2312" w:hAnsi="仿宋_GB2312" w:eastAsia="仿宋_GB2312"/>
          <w:sz w:val="30"/>
          <w:szCs w:val="30"/>
        </w:rPr>
        <w:t>建立区域教学质量监测机制等六大措施，</w:t>
      </w:r>
      <w:r>
        <w:rPr>
          <w:rFonts w:hint="eastAsia" w:ascii="仿宋_GB2312" w:hAnsi="仿宋" w:eastAsia="仿宋_GB2312"/>
          <w:sz w:val="30"/>
          <w:szCs w:val="30"/>
        </w:rPr>
        <w:t>逐步形成了平等课堂、民主课堂、幸福课堂等新的课堂教学模式。从2018年起，我院组织开展对全市以“发现、诊断、促进”为主题的义务教育课改回访调研，通过现场诊断、指导，发现并解决了课改推进中存在的问题，强化了实验校的区域示范效应</w:t>
      </w:r>
      <w:r>
        <w:rPr>
          <w:rFonts w:hint="eastAsia" w:ascii="仿宋_GB2312" w:hAnsi="仿宋" w:eastAsia="仿宋_GB2312" w:cs="仿宋_GB2312"/>
          <w:kern w:val="0"/>
          <w:sz w:val="30"/>
          <w:szCs w:val="30"/>
        </w:rPr>
        <w:t>。</w:t>
      </w:r>
      <w:r>
        <w:rPr>
          <w:rFonts w:hint="eastAsia" w:ascii="仿宋_GB2312" w:hAnsi="仿宋" w:eastAsia="仿宋_GB2312" w:cs="仿宋_GB2312"/>
          <w:b/>
          <w:kern w:val="0"/>
          <w:sz w:val="30"/>
          <w:szCs w:val="30"/>
        </w:rPr>
        <w:t>三是整体推进区域教研。</w:t>
      </w:r>
      <w:r>
        <w:rPr>
          <w:rFonts w:hint="eastAsia" w:ascii="仿宋_GB2312" w:hAnsi="仿宋" w:eastAsia="仿宋_GB2312" w:cs="仿宋_GB2312"/>
          <w:kern w:val="0"/>
          <w:sz w:val="30"/>
          <w:szCs w:val="30"/>
        </w:rPr>
        <w:t>建立市县区教研共同体，召开市县区学科教学工作会、举行城区义务教育阶段骨干教师示范教学暨课堂教学改革研讨活动等,推动教育科研辐射引领。</w:t>
      </w:r>
    </w:p>
    <w:p>
      <w:pPr>
        <w:ind w:firstLine="600" w:firstLineChars="200"/>
        <w:rPr>
          <w:rFonts w:ascii="楷体_GB2312" w:hAnsi="楷体" w:eastAsia="楷体_GB2312"/>
          <w:b/>
          <w:sz w:val="30"/>
          <w:szCs w:val="30"/>
        </w:rPr>
      </w:pPr>
      <w:r>
        <w:rPr>
          <w:rFonts w:hint="eastAsia" w:ascii="楷体_GB2312" w:hAnsi="楷体" w:eastAsia="楷体_GB2312"/>
          <w:b/>
          <w:sz w:val="30"/>
          <w:szCs w:val="30"/>
        </w:rPr>
        <w:t>2.加强新高考研究和复习备考工作，努力提高普通高中教学质量</w:t>
      </w:r>
    </w:p>
    <w:p>
      <w:pPr>
        <w:ind w:firstLine="600" w:firstLineChars="200"/>
        <w:rPr>
          <w:rFonts w:ascii="仿宋_GB2312" w:hAnsi="仿宋" w:eastAsia="仿宋_GB2312"/>
          <w:sz w:val="30"/>
          <w:szCs w:val="30"/>
        </w:rPr>
      </w:pPr>
      <w:r>
        <w:rPr>
          <w:rFonts w:hint="eastAsia" w:ascii="仿宋_GB2312" w:hAnsi="仿宋" w:eastAsia="仿宋_GB2312"/>
          <w:b/>
          <w:sz w:val="30"/>
          <w:szCs w:val="30"/>
        </w:rPr>
        <w:t>一是做好新高考前期准备。</w:t>
      </w:r>
      <w:r>
        <w:rPr>
          <w:rFonts w:hint="eastAsia" w:ascii="仿宋_GB2312" w:hAnsi="仿宋" w:eastAsia="仿宋_GB2312"/>
          <w:sz w:val="30"/>
          <w:szCs w:val="30"/>
        </w:rPr>
        <w:t>赴试点省份、地区考察，</w:t>
      </w:r>
      <w:r>
        <w:rPr>
          <w:rFonts w:hint="eastAsia" w:ascii="仿宋_GB2312" w:eastAsia="仿宋_GB2312"/>
          <w:sz w:val="30"/>
          <w:szCs w:val="30"/>
        </w:rPr>
        <w:t>研析新课程新高考，汇编</w:t>
      </w:r>
      <w:r>
        <w:rPr>
          <w:rFonts w:hint="eastAsia" w:ascii="仿宋_GB2312" w:eastAsia="仿宋_GB2312"/>
          <w:color w:val="000000" w:themeColor="text1"/>
          <w:sz w:val="30"/>
          <w:szCs w:val="30"/>
          <w14:textFill>
            <w14:solidFill>
              <w14:schemeClr w14:val="tx1"/>
            </w14:solidFill>
          </w14:textFill>
        </w:rPr>
        <w:t>《近年有关教育政策重要文件及中央领导讲话》</w:t>
      </w:r>
      <w:r>
        <w:rPr>
          <w:rFonts w:hint="eastAsia" w:ascii="仿宋_GB2312" w:eastAsia="仿宋_GB2312"/>
          <w:sz w:val="30"/>
          <w:szCs w:val="30"/>
        </w:rPr>
        <w:t>内部资料书籍；组织高中备课组长进行线上线下新课标培训、开展“新高考”研讨活动等。</w:t>
      </w:r>
      <w:r>
        <w:rPr>
          <w:rFonts w:hint="eastAsia" w:ascii="仿宋_GB2312" w:eastAsia="仿宋_GB2312"/>
          <w:b/>
          <w:sz w:val="30"/>
          <w:szCs w:val="30"/>
        </w:rPr>
        <w:t>二是</w:t>
      </w:r>
      <w:r>
        <w:rPr>
          <w:rFonts w:hint="eastAsia" w:ascii="仿宋_GB2312" w:hAnsi="仿宋" w:eastAsia="仿宋_GB2312"/>
          <w:b/>
          <w:bCs/>
          <w:color w:val="000000"/>
          <w:sz w:val="30"/>
          <w:szCs w:val="30"/>
        </w:rPr>
        <w:t>提高教学视导的实效性。</w:t>
      </w:r>
      <w:r>
        <w:rPr>
          <w:rFonts w:hint="eastAsia" w:ascii="仿宋_GB2312" w:hAnsi="仿宋" w:eastAsia="仿宋_GB2312"/>
          <w:bCs/>
          <w:color w:val="000000"/>
          <w:sz w:val="30"/>
          <w:szCs w:val="30"/>
        </w:rPr>
        <w:t>创新方式、丰富内容，深入了解新课标背景下的学科教学现状，及时发现优点及典型做法。</w:t>
      </w:r>
      <w:r>
        <w:rPr>
          <w:rFonts w:hint="eastAsia" w:ascii="仿宋_GB2312" w:hAnsi="仿宋" w:eastAsia="仿宋_GB2312"/>
          <w:b/>
          <w:bCs/>
          <w:color w:val="000000"/>
          <w:sz w:val="30"/>
          <w:szCs w:val="30"/>
        </w:rPr>
        <w:t>三是加强评价结果的运用。</w:t>
      </w:r>
      <w:r>
        <w:rPr>
          <w:rFonts w:hint="eastAsia" w:ascii="仿宋_GB2312" w:hAnsi="仿宋" w:eastAsia="仿宋_GB2312"/>
          <w:bCs/>
          <w:color w:val="000000"/>
          <w:sz w:val="30"/>
          <w:szCs w:val="30"/>
        </w:rPr>
        <w:t>针对视导、模考中发现的问题，</w:t>
      </w:r>
      <w:r>
        <w:rPr>
          <w:rFonts w:hint="eastAsia" w:ascii="仿宋_GB2312" w:hAnsi="仿宋" w:eastAsia="仿宋_GB2312"/>
          <w:sz w:val="30"/>
          <w:szCs w:val="30"/>
        </w:rPr>
        <w:t>组织教学研讨会、核心小组碰头会、迎考工作会、信息交流会等系列活动，用数据说话，不断提高复习迎考工作的针对性和有效性。</w:t>
      </w:r>
    </w:p>
    <w:p>
      <w:pPr>
        <w:ind w:firstLine="600" w:firstLineChars="200"/>
        <w:rPr>
          <w:rFonts w:ascii="楷体_GB2312" w:hAnsi="楷体" w:eastAsia="楷体_GB2312"/>
          <w:b/>
          <w:sz w:val="30"/>
          <w:szCs w:val="30"/>
        </w:rPr>
      </w:pPr>
      <w:r>
        <w:rPr>
          <w:rFonts w:hint="eastAsia" w:ascii="楷体_GB2312" w:hAnsi="楷体" w:eastAsia="楷体_GB2312"/>
          <w:b/>
          <w:sz w:val="30"/>
          <w:szCs w:val="30"/>
        </w:rPr>
        <w:t>3.加强内涵建设，不断规范中等职业学校教学行为</w:t>
      </w:r>
    </w:p>
    <w:p>
      <w:pPr>
        <w:ind w:firstLine="600" w:firstLineChars="200"/>
        <w:rPr>
          <w:rFonts w:ascii="仿宋_GB2312" w:hAnsi="楷体" w:eastAsia="仿宋_GB2312"/>
          <w:sz w:val="30"/>
          <w:szCs w:val="30"/>
        </w:rPr>
      </w:pPr>
      <w:r>
        <w:rPr>
          <w:rFonts w:hint="eastAsia" w:ascii="仿宋_GB2312" w:hAnsi="楷体" w:eastAsia="仿宋_GB2312"/>
          <w:b/>
          <w:sz w:val="30"/>
          <w:szCs w:val="30"/>
        </w:rPr>
        <w:t>一是</w:t>
      </w:r>
      <w:r>
        <w:rPr>
          <w:rFonts w:hint="eastAsia" w:ascii="仿宋_GB2312" w:eastAsia="仿宋_GB2312"/>
          <w:b/>
          <w:sz w:val="30"/>
          <w:szCs w:val="30"/>
        </w:rPr>
        <w:t>建立完善教学文件、标准。</w:t>
      </w:r>
      <w:r>
        <w:rPr>
          <w:rFonts w:hint="eastAsia" w:ascii="仿宋_GB2312" w:eastAsia="仿宋_GB2312"/>
          <w:sz w:val="30"/>
          <w:szCs w:val="30"/>
        </w:rPr>
        <w:t>从职业院校、行业企业中遴选专家，成立我市职业教育专家库，参与专业教学指导，制定人才培养方案、竞赛规程、技能抽查标准等。</w:t>
      </w:r>
      <w:r>
        <w:rPr>
          <w:rFonts w:hint="eastAsia" w:ascii="仿宋_GB2312" w:eastAsia="仿宋_GB2312"/>
          <w:b/>
          <w:sz w:val="30"/>
          <w:szCs w:val="30"/>
        </w:rPr>
        <w:t>二是加强国家、省市立项项目过程管理。</w:t>
      </w:r>
      <w:r>
        <w:rPr>
          <w:rFonts w:hint="eastAsia" w:ascii="仿宋_GB2312" w:eastAsia="仿宋_GB2312"/>
          <w:sz w:val="30"/>
          <w:szCs w:val="30"/>
        </w:rPr>
        <w:t>通过项目引领，提升中职学校专业、课程体系建设水平，提升人才培养质量。</w:t>
      </w:r>
      <w:r>
        <w:rPr>
          <w:rFonts w:hint="eastAsia" w:ascii="仿宋_GB2312" w:eastAsia="仿宋_GB2312"/>
          <w:b/>
          <w:sz w:val="30"/>
          <w:szCs w:val="30"/>
        </w:rPr>
        <w:t>三是坚持送教送研下校。</w:t>
      </w:r>
      <w:r>
        <w:rPr>
          <w:rFonts w:hint="eastAsia" w:ascii="仿宋_GB2312" w:eastAsia="仿宋_GB2312"/>
          <w:sz w:val="30"/>
          <w:szCs w:val="30"/>
        </w:rPr>
        <w:t>开展教学开放周、教研员下校蹲点等活动，组织教研员、专家库专家下到学校，开展教学工作诊断与改进视导，协助加强教研组（室）建设，精心开展富有特色的校本研修和学术交流活动。</w:t>
      </w:r>
      <w:r>
        <w:rPr>
          <w:rFonts w:hint="eastAsia" w:ascii="仿宋_GB2312" w:eastAsia="仿宋_GB2312"/>
          <w:b/>
          <w:sz w:val="30"/>
          <w:szCs w:val="30"/>
        </w:rPr>
        <w:t>四是加强质量评价。</w:t>
      </w:r>
      <w:r>
        <w:rPr>
          <w:rFonts w:hint="eastAsia" w:ascii="仿宋_GB2312" w:eastAsia="仿宋_GB2312"/>
          <w:sz w:val="30"/>
          <w:szCs w:val="30"/>
        </w:rPr>
        <w:t>组织开展常规教学督查、学生技能竞赛、学生技能抽查和综合素质测试、专业评估等，在此基础上汇总撰写《岳阳市中等职业学校质量年度报告》。</w:t>
      </w:r>
    </w:p>
    <w:p>
      <w:pPr>
        <w:ind w:firstLine="600" w:firstLineChars="200"/>
        <w:rPr>
          <w:rFonts w:hint="eastAsia" w:ascii="楷体_GB2312" w:hAnsi="楷体" w:eastAsia="楷体_GB2312"/>
          <w:b/>
          <w:sz w:val="30"/>
          <w:szCs w:val="30"/>
        </w:rPr>
      </w:pPr>
      <w:r>
        <w:rPr>
          <w:rFonts w:hint="eastAsia" w:ascii="楷体_GB2312" w:hAnsi="楷体" w:eastAsia="楷体_GB2312"/>
          <w:b/>
          <w:sz w:val="30"/>
          <w:szCs w:val="30"/>
        </w:rPr>
        <w:t>4.加强教育装备建设，着力推动“互联网+教育”深度融合</w:t>
      </w:r>
    </w:p>
    <w:p>
      <w:pPr>
        <w:ind w:firstLine="600" w:firstLineChars="200"/>
        <w:rPr>
          <w:rFonts w:ascii="仿宋_GB2312" w:hAnsi="仿宋" w:eastAsia="仿宋_GB2312" w:cs="宋体"/>
          <w:sz w:val="30"/>
          <w:szCs w:val="30"/>
        </w:rPr>
      </w:pPr>
      <w:r>
        <w:rPr>
          <w:rFonts w:hint="eastAsia" w:ascii="仿宋_GB2312" w:hAnsi="楷体" w:eastAsia="仿宋_GB2312"/>
          <w:b/>
          <w:sz w:val="30"/>
          <w:szCs w:val="30"/>
        </w:rPr>
        <w:t>一是加强建设规划。</w:t>
      </w:r>
      <w:r>
        <w:rPr>
          <w:rFonts w:hint="eastAsia" w:ascii="仿宋_GB2312" w:hAnsi="楷体" w:eastAsia="仿宋_GB2312"/>
          <w:sz w:val="30"/>
          <w:szCs w:val="30"/>
        </w:rPr>
        <w:t>通过调研，制定《岳阳市教育技术装备“十三五”发展规划》、《岳阳市教育信息化“十三五”发展规划（2016-2020年）》、《岳阳市教育信息化2.0行动计划（</w:t>
      </w:r>
      <w:r>
        <w:rPr>
          <w:rFonts w:hint="eastAsia" w:ascii="仿宋_GB2312" w:hAnsi="楷体" w:eastAsia="仿宋_GB2312"/>
          <w:sz w:val="30"/>
          <w:szCs w:val="30"/>
          <w:lang w:eastAsia="zh-CN"/>
        </w:rPr>
        <w:t>2020</w:t>
      </w:r>
      <w:r>
        <w:rPr>
          <w:rFonts w:hint="eastAsia" w:ascii="仿宋_GB2312" w:hAnsi="楷体" w:eastAsia="仿宋_GB2312"/>
          <w:sz w:val="30"/>
          <w:szCs w:val="30"/>
        </w:rPr>
        <w:t>-2023）（送审稿）》等。</w:t>
      </w:r>
      <w:r>
        <w:rPr>
          <w:rFonts w:hint="eastAsia" w:ascii="仿宋_GB2312" w:hAnsi="楷体" w:eastAsia="仿宋_GB2312"/>
          <w:b/>
          <w:sz w:val="30"/>
          <w:szCs w:val="30"/>
        </w:rPr>
        <w:t>二是加强建设过程管理。</w:t>
      </w:r>
      <w:r>
        <w:rPr>
          <w:rFonts w:hint="eastAsia" w:ascii="仿宋_GB2312" w:hAnsi="楷体" w:eastAsia="仿宋_GB2312"/>
          <w:sz w:val="30"/>
          <w:szCs w:val="30"/>
        </w:rPr>
        <w:t>强化学校监视责任，认真</w:t>
      </w:r>
      <w:r>
        <w:rPr>
          <w:rFonts w:hint="eastAsia" w:ascii="仿宋_GB2312" w:eastAsia="仿宋_GB2312"/>
          <w:sz w:val="30"/>
          <w:szCs w:val="30"/>
        </w:rPr>
        <w:t>做好施工日志记录；强化监理职责，跟班监工；强化我院工作人员监督责任，包片负责；规范验收环节，把好到货验收、试运行、初验、终验四道关；做好常规例行巡检,把好售后关。</w:t>
      </w:r>
      <w:r>
        <w:rPr>
          <w:rFonts w:hint="eastAsia" w:ascii="仿宋_GB2312" w:eastAsia="仿宋_GB2312"/>
          <w:b/>
          <w:sz w:val="30"/>
          <w:szCs w:val="30"/>
        </w:rPr>
        <w:t>三是加强教学装备和信息技术在教学中的应用。</w:t>
      </w:r>
      <w:r>
        <w:rPr>
          <w:rFonts w:hint="eastAsia" w:ascii="仿宋_GB2312" w:eastAsia="仿宋_GB2312"/>
          <w:sz w:val="30"/>
          <w:szCs w:val="30"/>
        </w:rPr>
        <w:t>通过组织</w:t>
      </w:r>
      <w:r>
        <w:rPr>
          <w:rFonts w:hint="eastAsia" w:ascii="仿宋_GB2312" w:hAnsi="仿宋" w:eastAsia="仿宋_GB2312" w:cs="宋体"/>
          <w:sz w:val="30"/>
          <w:szCs w:val="30"/>
        </w:rPr>
        <w:t>城区初中毕业学生理化生实验操作</w:t>
      </w:r>
      <w:r>
        <w:rPr>
          <w:rFonts w:hint="eastAsia" w:ascii="仿宋_GB2312" w:eastAsia="仿宋_GB2312"/>
          <w:sz w:val="30"/>
          <w:szCs w:val="30"/>
        </w:rPr>
        <w:t>和信息技术考查，组织</w:t>
      </w:r>
      <w:r>
        <w:rPr>
          <w:rFonts w:hint="eastAsia" w:ascii="仿宋_GB2312" w:hAnsi="仿宋" w:eastAsia="仿宋_GB2312" w:cs="宋体"/>
          <w:sz w:val="30"/>
          <w:szCs w:val="30"/>
        </w:rPr>
        <w:t>中学化学教师实验教学能手大赛、</w:t>
      </w:r>
      <w:r>
        <w:rPr>
          <w:rFonts w:hint="eastAsia" w:ascii="仿宋_GB2312" w:hAnsi="仿宋" w:eastAsia="仿宋_GB2312"/>
          <w:sz w:val="30"/>
          <w:szCs w:val="30"/>
        </w:rPr>
        <w:t>“一师一优课，一课一名师”等竞赛活动，组织</w:t>
      </w:r>
      <w:r>
        <w:rPr>
          <w:rFonts w:hint="eastAsia" w:ascii="仿宋_GB2312" w:hAnsi="仿宋" w:eastAsia="仿宋_GB2312" w:cs="宋体"/>
          <w:sz w:val="30"/>
          <w:szCs w:val="30"/>
        </w:rPr>
        <w:t>开展省市教育信息化试点示范项目建设，</w:t>
      </w:r>
      <w:r>
        <w:rPr>
          <w:rFonts w:hint="eastAsia" w:ascii="仿宋_GB2312" w:hAnsi="仿宋" w:eastAsia="仿宋_GB2312"/>
          <w:sz w:val="30"/>
          <w:szCs w:val="30"/>
        </w:rPr>
        <w:t>组织</w:t>
      </w:r>
      <w:r>
        <w:rPr>
          <w:rFonts w:hint="eastAsia" w:ascii="仿宋_GB2312" w:hAnsi="仿宋" w:eastAsia="仿宋_GB2312" w:cs="宋体"/>
          <w:sz w:val="30"/>
          <w:szCs w:val="30"/>
        </w:rPr>
        <w:t>网络研训、名师工作坊（室）、空间教学、翻转课堂、微课教学的应用试点和推广，创新课堂教学模式，促进信息技术与教育装备的广泛使用。</w:t>
      </w:r>
    </w:p>
    <w:p>
      <w:pPr>
        <w:ind w:firstLine="600" w:firstLineChars="200"/>
        <w:rPr>
          <w:rFonts w:hint="eastAsia" w:ascii="楷体_GB2312" w:hAnsi="楷体" w:eastAsia="楷体_GB2312"/>
          <w:b/>
          <w:sz w:val="30"/>
          <w:szCs w:val="30"/>
        </w:rPr>
      </w:pPr>
      <w:r>
        <w:rPr>
          <w:rFonts w:hint="eastAsia" w:ascii="楷体_GB2312" w:hAnsi="楷体" w:eastAsia="楷体_GB2312"/>
          <w:b/>
          <w:sz w:val="30"/>
          <w:szCs w:val="30"/>
        </w:rPr>
        <w:t>5.加强教师培训培养，积极推行研训一体的教师专业成长模式。</w:t>
      </w:r>
    </w:p>
    <w:p>
      <w:pPr>
        <w:ind w:firstLine="600" w:firstLineChars="200"/>
        <w:rPr>
          <w:rFonts w:ascii="仿宋_GB2312" w:hAnsi="楷体" w:eastAsia="仿宋_GB2312"/>
          <w:sz w:val="30"/>
          <w:szCs w:val="30"/>
        </w:rPr>
      </w:pPr>
      <w:r>
        <w:rPr>
          <w:rFonts w:hint="eastAsia" w:ascii="仿宋_GB2312" w:hAnsi="楷体" w:eastAsia="仿宋_GB2312"/>
          <w:sz w:val="30"/>
          <w:szCs w:val="30"/>
        </w:rPr>
        <w:t>在学科课程、教材培训中，</w:t>
      </w:r>
      <w:r>
        <w:rPr>
          <w:rFonts w:hint="eastAsia" w:ascii="楷体_GB2312" w:hAnsi="楷体" w:eastAsia="楷体_GB2312"/>
          <w:b/>
          <w:sz w:val="30"/>
          <w:szCs w:val="30"/>
        </w:rPr>
        <w:t>一是创新研训模式。</w:t>
      </w:r>
      <w:r>
        <w:rPr>
          <w:rFonts w:hint="eastAsia" w:ascii="仿宋_GB2312" w:hAnsi="楷体" w:eastAsia="仿宋_GB2312"/>
          <w:sz w:val="30"/>
          <w:szCs w:val="30"/>
        </w:rPr>
        <w:t>将教研与培训融为一体，</w:t>
      </w:r>
      <w:r>
        <w:rPr>
          <w:rFonts w:hint="eastAsia" w:ascii="仿宋_GB2312" w:hAnsi="仿宋" w:eastAsia="仿宋_GB2312" w:cs="仿宋"/>
          <w:kern w:val="0"/>
          <w:sz w:val="30"/>
          <w:szCs w:val="30"/>
        </w:rPr>
        <w:t>基于</w:t>
      </w:r>
      <w:r>
        <w:rPr>
          <w:rFonts w:hint="eastAsia" w:ascii="仿宋_GB2312" w:hAnsi="楷体" w:eastAsia="仿宋_GB2312"/>
          <w:sz w:val="30"/>
          <w:szCs w:val="30"/>
        </w:rPr>
        <w:t>教育信息化创新应用中心、</w:t>
      </w:r>
      <w:r>
        <w:rPr>
          <w:rFonts w:hint="eastAsia" w:ascii="仿宋_GB2312" w:hAnsi="仿宋" w:eastAsia="仿宋_GB2312" w:cs="仿宋"/>
          <w:kern w:val="0"/>
          <w:sz w:val="30"/>
          <w:szCs w:val="30"/>
        </w:rPr>
        <w:t>岳阳教育云平台、名师工作室（坊），开展专题讲座、集体备课、研讨交流等线上线下的学科教研活动，</w:t>
      </w:r>
      <w:r>
        <w:rPr>
          <w:rFonts w:hint="eastAsia" w:ascii="仿宋_GB2312" w:hAnsi="楷体" w:eastAsia="仿宋_GB2312"/>
          <w:sz w:val="30"/>
          <w:szCs w:val="30"/>
        </w:rPr>
        <w:t>以研促训，以训拓研，整体提升教师学科素养、教学教研能力。今年8月底，我院举办了全市普通高中教师暑期高级研修，全市各学科高一、高二教师3400多人参加了本次大集训，深受想学而缺乏学习机会的一线教师好评美评，号称新时期岳阳教育战线的“暑期全员大练兵”。</w:t>
      </w:r>
      <w:r>
        <w:rPr>
          <w:rFonts w:hint="eastAsia" w:ascii="楷体_GB2312" w:hAnsi="楷体" w:eastAsia="楷体_GB2312"/>
          <w:b/>
          <w:sz w:val="30"/>
          <w:szCs w:val="30"/>
        </w:rPr>
        <w:t>二是创新研训流程。</w:t>
      </w:r>
      <w:r>
        <w:rPr>
          <w:rFonts w:hint="eastAsia" w:ascii="仿宋_GB2312" w:hAnsi="楷体" w:eastAsia="仿宋_GB2312"/>
          <w:sz w:val="30"/>
          <w:szCs w:val="30"/>
        </w:rPr>
        <w:t>我们总结出“情感沟通-头脑风暴-小组交流-大组研讨-总结评价”的研训一般流程，在教师培训与教研活动中广泛应用，效果良好。今年7月份在长沙市举行的全省首届青年教师课堂片段教学竞赛中，我市派出语数英三个学科、小初高三个学段的共9名选手参赛，大获佳绩：一人斩获第一名并获湖南省五一劳动奖章，一人荣获一等奖第二名，其他选手均获二、三等奖及“湖南省教学能手”称号，成绩远远超出14个地州市的平均获奖比例。</w:t>
      </w:r>
      <w:r>
        <w:rPr>
          <w:rFonts w:hint="eastAsia" w:ascii="楷体_GB2312" w:hAnsi="楷体" w:eastAsia="楷体_GB2312"/>
          <w:b/>
          <w:sz w:val="30"/>
          <w:szCs w:val="30"/>
        </w:rPr>
        <w:t>三是创新研训机制。</w:t>
      </w:r>
      <w:r>
        <w:rPr>
          <w:rFonts w:hint="eastAsia" w:ascii="仿宋_GB2312" w:hAnsi="楷体" w:eastAsia="仿宋_GB2312"/>
          <w:sz w:val="30"/>
          <w:szCs w:val="30"/>
        </w:rPr>
        <w:t>通过基地学校和网络平台常态化、制度化的研修培训活动，培养了一大批骨干教师，促进了基层教师和学科教研员的深度磨合，市教科院也被学校、教师亲切地称作学校发展、专业成长的参谋部、导航仪。</w:t>
      </w:r>
    </w:p>
    <w:p>
      <w:pPr>
        <w:ind w:firstLine="600" w:firstLineChars="200"/>
        <w:rPr>
          <w:rFonts w:hint="eastAsia" w:ascii="楷体_GB2312" w:hAnsi="楷体" w:eastAsia="楷体_GB2312"/>
          <w:b/>
          <w:sz w:val="30"/>
          <w:szCs w:val="30"/>
        </w:rPr>
      </w:pPr>
      <w:r>
        <w:rPr>
          <w:rFonts w:hint="eastAsia" w:ascii="楷体_GB2312" w:hAnsi="楷体" w:eastAsia="楷体_GB2312"/>
          <w:b/>
          <w:sz w:val="30"/>
          <w:szCs w:val="30"/>
        </w:rPr>
        <w:t>6.加强课题研究，努力推动教育事业科学发展。</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课题研究是教育科研工作的核心。</w:t>
      </w:r>
      <w:r>
        <w:rPr>
          <w:rFonts w:hint="eastAsia" w:ascii="仿宋_GB2312" w:hAnsi="仿宋" w:eastAsia="仿宋_GB2312"/>
          <w:b/>
          <w:sz w:val="30"/>
          <w:szCs w:val="30"/>
        </w:rPr>
        <w:t>一是加强课题申报指导。</w:t>
      </w:r>
      <w:r>
        <w:rPr>
          <w:rFonts w:hint="eastAsia" w:ascii="仿宋_GB2312" w:hAnsi="仿宋" w:eastAsia="仿宋_GB2312"/>
          <w:sz w:val="30"/>
          <w:szCs w:val="30"/>
        </w:rPr>
        <w:t>每年组织申报省级</w:t>
      </w:r>
      <w:r>
        <w:rPr>
          <w:rFonts w:hint="eastAsia" w:ascii="仿宋_GB2312" w:hAnsi="宋体" w:eastAsia="仿宋_GB2312"/>
          <w:sz w:val="30"/>
          <w:szCs w:val="30"/>
        </w:rPr>
        <w:t>课题</w:t>
      </w:r>
      <w:r>
        <w:rPr>
          <w:rFonts w:hint="eastAsia" w:ascii="仿宋_GB2312" w:hAnsi="仿宋" w:eastAsia="仿宋_GB2312"/>
          <w:sz w:val="30"/>
          <w:szCs w:val="30"/>
        </w:rPr>
        <w:t>（教育科学规划课题、</w:t>
      </w:r>
      <w:r>
        <w:rPr>
          <w:rFonts w:hint="eastAsia" w:ascii="仿宋_GB2312" w:hAnsi="宋体" w:eastAsia="仿宋_GB2312"/>
          <w:sz w:val="30"/>
          <w:szCs w:val="30"/>
        </w:rPr>
        <w:t>教育信息技术课题、教育科研工作者协会课题</w:t>
      </w:r>
      <w:r>
        <w:rPr>
          <w:rFonts w:hint="eastAsia" w:ascii="仿宋_GB2312" w:hAnsi="仿宋" w:eastAsia="仿宋_GB2312"/>
          <w:sz w:val="30"/>
          <w:szCs w:val="30"/>
        </w:rPr>
        <w:t>）50个以上。同时，坚持问题导向加强市级课题规划、立项工作，引导广大教师积极探索，解决教育教学实践中存在的瓶颈和难题。</w:t>
      </w:r>
      <w:r>
        <w:rPr>
          <w:rFonts w:hint="eastAsia" w:ascii="仿宋_GB2312" w:hAnsi="仿宋" w:eastAsia="仿宋_GB2312"/>
          <w:b/>
          <w:sz w:val="30"/>
          <w:szCs w:val="30"/>
        </w:rPr>
        <w:t>二是加强过程管理督导。</w:t>
      </w:r>
      <w:r>
        <w:rPr>
          <w:rFonts w:hint="eastAsia" w:ascii="仿宋_GB2312" w:hAnsi="仿宋" w:eastAsia="仿宋_GB2312"/>
          <w:sz w:val="30"/>
          <w:szCs w:val="30"/>
        </w:rPr>
        <w:t>认真组织开题论证、中期检查指导、结题验收，确保课题研究落到实处、取得实效。</w:t>
      </w:r>
      <w:r>
        <w:rPr>
          <w:rFonts w:hint="eastAsia" w:ascii="仿宋_GB2312" w:hAnsi="仿宋" w:eastAsia="仿宋_GB2312"/>
          <w:b/>
          <w:sz w:val="30"/>
          <w:szCs w:val="30"/>
        </w:rPr>
        <w:t>三是加强成果推广应用。</w:t>
      </w:r>
      <w:r>
        <w:rPr>
          <w:rFonts w:hint="eastAsia" w:ascii="仿宋_GB2312" w:hAnsi="仿宋" w:eastAsia="仿宋_GB2312"/>
          <w:sz w:val="30"/>
          <w:szCs w:val="30"/>
        </w:rPr>
        <w:t>通过成果发布会、现场观摩会、《中小学素质教育》杂志刊发等形式，在各级层面的区域内分享、推广应用教育教学改革成果。</w:t>
      </w:r>
    </w:p>
    <w:p>
      <w:pPr>
        <w:ind w:firstLine="600" w:firstLineChars="200"/>
        <w:rPr>
          <w:rFonts w:hint="eastAsia" w:ascii="仿宋_GB2312" w:hAnsi="仿宋" w:eastAsia="仿宋_GB2312"/>
          <w:sz w:val="30"/>
          <w:szCs w:val="30"/>
        </w:rPr>
      </w:pPr>
      <w:r>
        <w:rPr>
          <w:rFonts w:hint="eastAsia" w:ascii="仿宋_GB2312" w:hAnsi="仿宋" w:eastAsia="仿宋_GB2312"/>
          <w:color w:val="000000"/>
          <w:sz w:val="30"/>
          <w:szCs w:val="30"/>
          <w:lang w:eastAsia="zh-CN"/>
        </w:rPr>
        <w:t>2020</w:t>
      </w:r>
      <w:r>
        <w:rPr>
          <w:rFonts w:hint="eastAsia" w:ascii="仿宋_GB2312" w:hAnsi="仿宋" w:eastAsia="仿宋_GB2312"/>
          <w:color w:val="000000"/>
          <w:sz w:val="30"/>
          <w:szCs w:val="30"/>
        </w:rPr>
        <w:t>年，我们严抓内部管理，外树院所形象，提升科研地位，目标一致，齐心协力，全力推进全市各项教育科研与技术工作任务和目标的落实。同时，我们也迎来了我院发展壮大的好环境、好氛围、好条件！我们广大教研人一定要抓住这个历史最佳发展机遇，乘势而上，不负众望，在全国乃至全球风起云涌的教育改革浪潮中，将时代、社会、国家的幸运儿，变身为教育、教学、教研、教改的弄潮儿！。</w:t>
      </w:r>
    </w:p>
    <w:p>
      <w:pPr>
        <w:widowControl/>
        <w:jc w:val="left"/>
        <w:rPr>
          <w:rFonts w:cs="黑体" w:asciiTheme="minorEastAsia" w:hAnsiTheme="minorEastAsia"/>
          <w:color w:val="000000"/>
          <w:kern w:val="0"/>
          <w:sz w:val="32"/>
          <w:szCs w:val="32"/>
        </w:rPr>
      </w:pPr>
    </w:p>
    <w:p>
      <w:pPr>
        <w:jc w:val="center"/>
        <w:rPr>
          <w:rFonts w:hint="eastAsia"/>
          <w:sz w:val="32"/>
          <w:szCs w:val="32"/>
        </w:rPr>
      </w:pPr>
    </w:p>
    <w:p>
      <w:pPr>
        <w:jc w:val="center"/>
        <w:rPr>
          <w:rFonts w:hint="eastAsia" w:ascii="仿宋_GB2312" w:eastAsia="仿宋_GB2312"/>
          <w:sz w:val="28"/>
          <w:szCs w:val="32"/>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2000000000000000000"/>
    <w:charset w:val="86"/>
    <w:family w:val="script"/>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B96798"/>
    <w:multiLevelType w:val="singleLevel"/>
    <w:tmpl w:val="87B96798"/>
    <w:lvl w:ilvl="0" w:tentative="0">
      <w:start w:val="3"/>
      <w:numFmt w:val="decimal"/>
      <w:suff w:val="nothing"/>
      <w:lvlText w:val="%1、"/>
      <w:lvlJc w:val="left"/>
    </w:lvl>
  </w:abstractNum>
  <w:abstractNum w:abstractNumId="1">
    <w:nsid w:val="9D93E1D0"/>
    <w:multiLevelType w:val="singleLevel"/>
    <w:tmpl w:val="9D93E1D0"/>
    <w:lvl w:ilvl="0" w:tentative="0">
      <w:start w:val="1"/>
      <w:numFmt w:val="decimal"/>
      <w:suff w:val="nothing"/>
      <w:lvlText w:val="%1、"/>
      <w:lvlJc w:val="left"/>
      <w:pPr>
        <w:ind w:left="410"/>
      </w:p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5DD76F7"/>
    <w:multiLevelType w:val="singleLevel"/>
    <w:tmpl w:val="45DD76F7"/>
    <w:lvl w:ilvl="0" w:tentative="0">
      <w:start w:val="333"/>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A3F69"/>
    <w:rsid w:val="000E3EB2"/>
    <w:rsid w:val="00103957"/>
    <w:rsid w:val="00152C6D"/>
    <w:rsid w:val="00162D39"/>
    <w:rsid w:val="001651D8"/>
    <w:rsid w:val="001678BD"/>
    <w:rsid w:val="00185DB4"/>
    <w:rsid w:val="001A67DB"/>
    <w:rsid w:val="001C3C29"/>
    <w:rsid w:val="001D4F1A"/>
    <w:rsid w:val="001D51E5"/>
    <w:rsid w:val="001E080D"/>
    <w:rsid w:val="001E53D0"/>
    <w:rsid w:val="001F0C3B"/>
    <w:rsid w:val="00202C82"/>
    <w:rsid w:val="00210B4D"/>
    <w:rsid w:val="00214427"/>
    <w:rsid w:val="00226CB7"/>
    <w:rsid w:val="00264552"/>
    <w:rsid w:val="00264EF9"/>
    <w:rsid w:val="00265724"/>
    <w:rsid w:val="0027426B"/>
    <w:rsid w:val="002D7169"/>
    <w:rsid w:val="002E0A30"/>
    <w:rsid w:val="003130C4"/>
    <w:rsid w:val="00316C4B"/>
    <w:rsid w:val="0032192B"/>
    <w:rsid w:val="003479BD"/>
    <w:rsid w:val="00353197"/>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B74B2"/>
    <w:rsid w:val="005D4D55"/>
    <w:rsid w:val="005E2CFB"/>
    <w:rsid w:val="005F3D1C"/>
    <w:rsid w:val="0062378F"/>
    <w:rsid w:val="00641842"/>
    <w:rsid w:val="00651EEC"/>
    <w:rsid w:val="00691E8C"/>
    <w:rsid w:val="006A22C4"/>
    <w:rsid w:val="006A351B"/>
    <w:rsid w:val="006B0422"/>
    <w:rsid w:val="006C1B53"/>
    <w:rsid w:val="006D1B2F"/>
    <w:rsid w:val="006D7730"/>
    <w:rsid w:val="006E5284"/>
    <w:rsid w:val="006F3EB5"/>
    <w:rsid w:val="00702E34"/>
    <w:rsid w:val="00704395"/>
    <w:rsid w:val="00717006"/>
    <w:rsid w:val="00717621"/>
    <w:rsid w:val="00720FF1"/>
    <w:rsid w:val="00727A53"/>
    <w:rsid w:val="00770C9A"/>
    <w:rsid w:val="00787B42"/>
    <w:rsid w:val="007C4539"/>
    <w:rsid w:val="007F3657"/>
    <w:rsid w:val="00812ED5"/>
    <w:rsid w:val="008277D9"/>
    <w:rsid w:val="0084478C"/>
    <w:rsid w:val="0086638C"/>
    <w:rsid w:val="0087709D"/>
    <w:rsid w:val="008A3E8D"/>
    <w:rsid w:val="009237C4"/>
    <w:rsid w:val="00944C48"/>
    <w:rsid w:val="00950252"/>
    <w:rsid w:val="00967F5D"/>
    <w:rsid w:val="009A0F95"/>
    <w:rsid w:val="009B3ADF"/>
    <w:rsid w:val="009C3B52"/>
    <w:rsid w:val="009E6817"/>
    <w:rsid w:val="009E6E9A"/>
    <w:rsid w:val="00A01D2B"/>
    <w:rsid w:val="00A42218"/>
    <w:rsid w:val="00A63A5D"/>
    <w:rsid w:val="00A70249"/>
    <w:rsid w:val="00A70B02"/>
    <w:rsid w:val="00A71D9F"/>
    <w:rsid w:val="00A92E9F"/>
    <w:rsid w:val="00B33BEA"/>
    <w:rsid w:val="00B352B8"/>
    <w:rsid w:val="00B57C9F"/>
    <w:rsid w:val="00B63572"/>
    <w:rsid w:val="00B845B3"/>
    <w:rsid w:val="00B85D8B"/>
    <w:rsid w:val="00BB4A40"/>
    <w:rsid w:val="00BD6C3E"/>
    <w:rsid w:val="00BE3674"/>
    <w:rsid w:val="00C10681"/>
    <w:rsid w:val="00C3049A"/>
    <w:rsid w:val="00C31B1E"/>
    <w:rsid w:val="00C7185A"/>
    <w:rsid w:val="00C77645"/>
    <w:rsid w:val="00CE04C3"/>
    <w:rsid w:val="00CE76A0"/>
    <w:rsid w:val="00D05F0E"/>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45E0CE9"/>
    <w:rsid w:val="076B128A"/>
    <w:rsid w:val="09DD3B77"/>
    <w:rsid w:val="155742D5"/>
    <w:rsid w:val="15F43F51"/>
    <w:rsid w:val="3425222B"/>
    <w:rsid w:val="398B4159"/>
    <w:rsid w:val="3AB5211B"/>
    <w:rsid w:val="3D69366C"/>
    <w:rsid w:val="42067B17"/>
    <w:rsid w:val="494A0A3E"/>
    <w:rsid w:val="4DFF3B60"/>
    <w:rsid w:val="52DC2402"/>
    <w:rsid w:val="572E2FB9"/>
    <w:rsid w:val="598D5D03"/>
    <w:rsid w:val="5C5B4D66"/>
    <w:rsid w:val="70384C40"/>
    <w:rsid w:val="7D012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54B4B3-B679-49CD-A354-617168D1989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2284</Words>
  <Characters>13022</Characters>
  <Lines>108</Lines>
  <Paragraphs>30</Paragraphs>
  <TotalTime>2</TotalTime>
  <ScaleCrop>false</ScaleCrop>
  <LinksUpToDate>false</LinksUpToDate>
  <CharactersWithSpaces>15276</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Administrator</cp:lastModifiedBy>
  <cp:lastPrinted>2021-07-28T00:12:00Z</cp:lastPrinted>
  <dcterms:modified xsi:type="dcterms:W3CDTF">2022-04-19T02:21:35Z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