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岳阳市教育体育局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20701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   年 6  月 10  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杨璨</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8805510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84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楷体_GB2312"/>
                <w:color w:val="000000"/>
                <w:kern w:val="0"/>
                <w:sz w:val="22"/>
                <w:szCs w:val="22"/>
              </w:rPr>
              <w:t>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主管全市教师和体育从业人员工作。贯彻落实《全民健身条例》，指导开展群众性体育、竞技体育、青少年体育活动，负责体育产业发展规划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pStyle w:val="9"/>
              <w:numPr>
                <w:ilvl w:val="0"/>
                <w:numId w:val="1"/>
              </w:numPr>
              <w:autoSpaceDN w:val="0"/>
              <w:spacing w:line="320" w:lineRule="exact"/>
              <w:ind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投资5865.3万元，建设乡村小规模学校149所；投资34285.7万元，建设乡镇寄宿制学校计划151所。投资12156万元，建设农村公办幼儿园31所。</w:t>
            </w:r>
          </w:p>
          <w:p>
            <w:pPr>
              <w:pStyle w:val="9"/>
              <w:numPr>
                <w:ilvl w:val="0"/>
                <w:numId w:val="1"/>
              </w:numPr>
              <w:autoSpaceDN w:val="0"/>
              <w:spacing w:line="320" w:lineRule="exact"/>
              <w:ind w:firstLineChars="0"/>
              <w:jc w:val="left"/>
              <w:textAlignment w:val="center"/>
              <w:rPr>
                <w:rFonts w:hint="eastAsia"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完成100所城镇小区配套幼儿园治理。全市增加公办园学位11840个。</w:t>
            </w:r>
          </w:p>
          <w:p>
            <w:pPr>
              <w:pStyle w:val="9"/>
              <w:numPr>
                <w:ilvl w:val="0"/>
                <w:numId w:val="1"/>
              </w:numPr>
              <w:autoSpaceDN w:val="0"/>
              <w:spacing w:line="320" w:lineRule="exact"/>
              <w:ind w:firstLineChars="0"/>
              <w:jc w:val="left"/>
              <w:textAlignment w:val="center"/>
              <w:rPr>
                <w:rFonts w:hint="eastAsia"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全市消除义务教育大班额156个（省定任务112个），消除普通高中大班额133个。</w:t>
            </w:r>
          </w:p>
          <w:p>
            <w:pPr>
              <w:pStyle w:val="9"/>
              <w:numPr>
                <w:ilvl w:val="0"/>
                <w:numId w:val="1"/>
              </w:numPr>
              <w:autoSpaceDN w:val="0"/>
              <w:spacing w:line="320" w:lineRule="exact"/>
              <w:ind w:firstLineChars="0"/>
              <w:jc w:val="left"/>
              <w:textAlignment w:val="center"/>
              <w:rPr>
                <w:rFonts w:hint="eastAsia"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建成社会足球场68片（省定任务）</w:t>
            </w:r>
          </w:p>
          <w:p>
            <w:pPr>
              <w:pStyle w:val="9"/>
              <w:numPr>
                <w:ilvl w:val="0"/>
                <w:numId w:val="1"/>
              </w:numPr>
              <w:autoSpaceDN w:val="0"/>
              <w:spacing w:line="320" w:lineRule="exact"/>
              <w:ind w:firstLineChars="0"/>
              <w:jc w:val="left"/>
              <w:textAlignment w:val="center"/>
              <w:rPr>
                <w:rFonts w:hint="eastAsia"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启动中心城区“三大片区三年行动” 计划</w:t>
            </w:r>
          </w:p>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eastAsia="仿宋_GB2312" w:cs="楷体_GB2312"/>
                <w:color w:val="000000"/>
                <w:sz w:val="22"/>
                <w:szCs w:val="22"/>
              </w:rPr>
              <w:t>办好最美长江（岳阳）国际马拉松赛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一、是推进招生考试改革。推动英语口语、音乐、美术人机测试，建设初中综合素质评价平台。中考信息技术由考查科目调整为考试科目。首次实施了网上招生、公民同招、摇号招生，建立全市统一的义务教育、高中阶段学校招生录取平台，义务教育取消各类特长生招生。民办学校报名人数超过招生计划，全部参加电脑随机派位，扭转了民办学校掐尖势头。</w:t>
            </w:r>
          </w:p>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二、是加快发展职业教育。认真落实</w:t>
            </w:r>
            <w:r>
              <w:rPr>
                <w:rFonts w:ascii="仿宋_GB2312" w:hAnsi="宋体" w:eastAsia="仿宋_GB2312" w:cs="楷体_GB2312"/>
                <w:color w:val="000000"/>
                <w:kern w:val="0"/>
                <w:sz w:val="22"/>
                <w:szCs w:val="22"/>
              </w:rPr>
              <w:t>《岳阳市职业教育改革实施方案》</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瞄准产教融合、多元办学、“双师型”教师队伍建设等重点方向</w:t>
            </w:r>
            <w:r>
              <w:rPr>
                <w:rFonts w:hint="eastAsia" w:ascii="仿宋_GB2312" w:hAnsi="宋体" w:eastAsia="仿宋_GB2312" w:cs="楷体_GB2312"/>
                <w:color w:val="000000"/>
                <w:kern w:val="0"/>
                <w:sz w:val="22"/>
                <w:szCs w:val="22"/>
              </w:rPr>
              <w:t>推进</w:t>
            </w:r>
            <w:r>
              <w:rPr>
                <w:rFonts w:ascii="仿宋_GB2312" w:hAnsi="宋体" w:eastAsia="仿宋_GB2312" w:cs="楷体_GB2312"/>
                <w:color w:val="000000"/>
                <w:kern w:val="0"/>
                <w:sz w:val="22"/>
                <w:szCs w:val="22"/>
              </w:rPr>
              <w:t>改革创新</w:t>
            </w:r>
            <w:r>
              <w:rPr>
                <w:rFonts w:hint="eastAsia" w:ascii="仿宋_GB2312" w:hAnsi="宋体" w:eastAsia="仿宋_GB2312" w:cs="楷体_GB2312"/>
                <w:color w:val="000000"/>
                <w:kern w:val="0"/>
                <w:sz w:val="22"/>
                <w:szCs w:val="22"/>
              </w:rPr>
              <w:t>。支持湘北女校升格，组建“湖南文旅职业学院”。我市“创建省级产教融合型城市”入围全省教育体制改革试点项目（全省3个）。6所中职学校开设五年一贯制专业。公办中职学校学校通过兴建教学和生活用房以及内部挖潜，增加学位2354个。参加全省中职教师职业能力竞赛，我市7个教师团队获得一等奖，其中2支教师团队将代表湖南省参加全国教师职业能力竞赛。我市</w:t>
            </w:r>
            <w:r>
              <w:rPr>
                <w:rFonts w:ascii="仿宋_GB2312" w:hAnsi="宋体" w:eastAsia="仿宋_GB2312" w:cs="楷体_GB2312"/>
                <w:color w:val="000000"/>
                <w:kern w:val="0"/>
                <w:sz w:val="22"/>
                <w:szCs w:val="22"/>
              </w:rPr>
              <w:t>11741</w:t>
            </w:r>
            <w:r>
              <w:rPr>
                <w:rFonts w:hint="eastAsia" w:ascii="仿宋_GB2312" w:hAnsi="宋体" w:eastAsia="仿宋_GB2312" w:cs="楷体_GB2312"/>
                <w:color w:val="000000"/>
                <w:kern w:val="0"/>
                <w:sz w:val="22"/>
                <w:szCs w:val="22"/>
              </w:rPr>
              <w:t>名中职二年级学生参加公共课普测，继续领跑全省排第一。</w:t>
            </w:r>
          </w:p>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三、是推动教育高质量发展。基底在筑高，持续推进“三园”创建，校园面貌改观、内涵建设提升。450所城镇学校与229农村学校结对帮扶，有力促进了区域教育均衡发展，《中国教育报》《湖南教育》等媒体进行报道，全省三区支教工作会议唯有我市</w:t>
            </w:r>
            <w:r>
              <w:rPr>
                <w:rFonts w:ascii="仿宋_GB2312" w:hAnsi="宋体" w:eastAsia="仿宋_GB2312" w:cs="楷体_GB2312"/>
                <w:color w:val="000000"/>
                <w:kern w:val="0"/>
                <w:sz w:val="22"/>
                <w:szCs w:val="22"/>
              </w:rPr>
              <w:t>2</w:t>
            </w:r>
            <w:r>
              <w:rPr>
                <w:rFonts w:hint="eastAsia" w:ascii="仿宋_GB2312" w:hAnsi="宋体" w:eastAsia="仿宋_GB2312" w:cs="楷体_GB2312"/>
                <w:color w:val="000000"/>
                <w:kern w:val="0"/>
                <w:sz w:val="22"/>
                <w:szCs w:val="22"/>
              </w:rPr>
              <w:t>名代表发言。出口在向好，“强基、壮腰、筑梦”教育提质强力推进，高考、学考、中考平安顺利，高考成绩显著提升。2020年高考，</w:t>
            </w:r>
            <w:r>
              <w:rPr>
                <w:rFonts w:ascii="仿宋_GB2312" w:hAnsi="宋体" w:eastAsia="仿宋_GB2312" w:cs="楷体_GB2312"/>
                <w:color w:val="000000"/>
                <w:kern w:val="0"/>
                <w:sz w:val="22"/>
                <w:szCs w:val="22"/>
              </w:rPr>
              <w:t>600</w:t>
            </w:r>
            <w:r>
              <w:rPr>
                <w:rFonts w:hint="eastAsia" w:ascii="仿宋_GB2312" w:hAnsi="宋体" w:eastAsia="仿宋_GB2312" w:cs="楷体_GB2312"/>
                <w:color w:val="000000"/>
                <w:kern w:val="0"/>
                <w:sz w:val="22"/>
                <w:szCs w:val="22"/>
              </w:rPr>
              <w:t>分以上人数同比增加</w:t>
            </w:r>
            <w:r>
              <w:rPr>
                <w:rFonts w:ascii="仿宋_GB2312" w:hAnsi="宋体" w:eastAsia="仿宋_GB2312" w:cs="楷体_GB2312"/>
                <w:color w:val="000000"/>
                <w:kern w:val="0"/>
                <w:sz w:val="22"/>
                <w:szCs w:val="22"/>
              </w:rPr>
              <w:t>127%</w:t>
            </w:r>
            <w:r>
              <w:rPr>
                <w:rFonts w:hint="eastAsia" w:ascii="仿宋_GB2312" w:hAnsi="宋体" w:eastAsia="仿宋_GB2312" w:cs="楷体_GB2312"/>
                <w:color w:val="000000"/>
                <w:kern w:val="0"/>
                <w:sz w:val="22"/>
                <w:szCs w:val="22"/>
              </w:rPr>
              <w:t>，一本、二本上线率为</w:t>
            </w:r>
            <w:r>
              <w:rPr>
                <w:rFonts w:ascii="仿宋_GB2312" w:hAnsi="宋体" w:eastAsia="仿宋_GB2312" w:cs="楷体_GB2312"/>
                <w:color w:val="000000"/>
                <w:kern w:val="0"/>
                <w:sz w:val="22"/>
                <w:szCs w:val="22"/>
              </w:rPr>
              <w:t>25.26%</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47.31%</w:t>
            </w:r>
            <w:r>
              <w:rPr>
                <w:rFonts w:hint="eastAsia" w:ascii="仿宋_GB2312" w:hAnsi="宋体" w:eastAsia="仿宋_GB2312" w:cs="楷体_GB2312"/>
                <w:color w:val="000000"/>
                <w:kern w:val="0"/>
                <w:sz w:val="22"/>
                <w:szCs w:val="22"/>
              </w:rPr>
              <w:t>，较</w:t>
            </w:r>
            <w:r>
              <w:rPr>
                <w:rFonts w:ascii="仿宋_GB2312" w:hAnsi="宋体" w:eastAsia="仿宋_GB2312" w:cs="楷体_GB2312"/>
                <w:color w:val="000000"/>
                <w:kern w:val="0"/>
                <w:sz w:val="22"/>
                <w:szCs w:val="22"/>
              </w:rPr>
              <w:t>2019</w:t>
            </w:r>
            <w:r>
              <w:rPr>
                <w:rFonts w:hint="eastAsia" w:ascii="仿宋_GB2312" w:hAnsi="宋体" w:eastAsia="仿宋_GB2312" w:cs="楷体_GB2312"/>
                <w:color w:val="000000"/>
                <w:kern w:val="0"/>
                <w:sz w:val="22"/>
                <w:szCs w:val="22"/>
              </w:rPr>
              <w:t>年分别提高</w:t>
            </w:r>
            <w:r>
              <w:rPr>
                <w:rFonts w:ascii="仿宋_GB2312" w:hAnsi="宋体" w:eastAsia="仿宋_GB2312" w:cs="楷体_GB2312"/>
                <w:color w:val="000000"/>
                <w:kern w:val="0"/>
                <w:sz w:val="22"/>
                <w:szCs w:val="22"/>
              </w:rPr>
              <w:t>6.15%</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9.22%</w:t>
            </w:r>
            <w:r>
              <w:rPr>
                <w:rFonts w:hint="eastAsia" w:ascii="仿宋_GB2312" w:hAnsi="宋体" w:eastAsia="仿宋_GB2312" w:cs="楷体_GB2312"/>
                <w:color w:val="000000"/>
                <w:kern w:val="0"/>
                <w:sz w:val="22"/>
                <w:szCs w:val="22"/>
              </w:rPr>
              <w:t>。单科优秀人数全省排名较去年上升6个名次，16人上清华北大录取线，实际录取14人（2人因专业方向放弃），较去年增加10人。</w:t>
            </w:r>
          </w:p>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四、是抓好基本建设。投资5865.3万元，建设乡村小规模学校149所；投资34285.7万元，建设乡镇寄宿制学校计划151所。投资12156万元，建设农村公办幼儿园31所。基本完成了104所城镇小区配套幼儿园治理。全市累计增加公办园学位35166个，公办园在园幼儿占比53.4%，排全省第2。临湘市特校9月1日建成并投入使用，补齐了我市特殊教育短板。平江县三阳芙蓉学校、汨罗市新市星火芙蓉学校建设顺利推进。全市消除义务教育大班额156个（省定任务112个），消除普通高中大班额133个。</w:t>
            </w:r>
          </w:p>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五、是加强教师队伍建设。加强学校党建工作，强化意识形态教育。做好培训筹划，调整“国培”工作坊2个，实施省市联合立项9项。全市开设省、市、县三级工作坊研修项目</w:t>
            </w:r>
            <w:r>
              <w:rPr>
                <w:rFonts w:ascii="仿宋_GB2312" w:hAnsi="宋体" w:eastAsia="仿宋_GB2312" w:cs="楷体_GB2312"/>
                <w:color w:val="000000"/>
                <w:kern w:val="0"/>
                <w:sz w:val="22"/>
                <w:szCs w:val="22"/>
              </w:rPr>
              <w:t>47</w:t>
            </w:r>
            <w:r>
              <w:rPr>
                <w:rFonts w:hint="eastAsia" w:ascii="仿宋_GB2312" w:hAnsi="宋体" w:eastAsia="仿宋_GB2312" w:cs="楷体_GB2312"/>
                <w:color w:val="000000"/>
                <w:kern w:val="0"/>
                <w:sz w:val="22"/>
                <w:szCs w:val="22"/>
              </w:rPr>
              <w:t>个，涉及学科</w:t>
            </w:r>
            <w:r>
              <w:rPr>
                <w:rFonts w:ascii="仿宋_GB2312" w:hAnsi="宋体" w:eastAsia="仿宋_GB2312" w:cs="楷体_GB2312"/>
                <w:color w:val="000000"/>
                <w:kern w:val="0"/>
                <w:sz w:val="22"/>
                <w:szCs w:val="22"/>
              </w:rPr>
              <w:t>19</w:t>
            </w:r>
            <w:r>
              <w:rPr>
                <w:rFonts w:hint="eastAsia" w:ascii="仿宋_GB2312" w:hAnsi="宋体" w:eastAsia="仿宋_GB2312" w:cs="楷体_GB2312"/>
                <w:color w:val="000000"/>
                <w:kern w:val="0"/>
                <w:sz w:val="22"/>
                <w:szCs w:val="22"/>
              </w:rPr>
              <w:t>个，参训教师</w:t>
            </w:r>
            <w:r>
              <w:rPr>
                <w:rFonts w:ascii="仿宋_GB2312" w:hAnsi="宋体" w:eastAsia="仿宋_GB2312" w:cs="楷体_GB2312"/>
                <w:color w:val="000000"/>
                <w:kern w:val="0"/>
                <w:sz w:val="22"/>
                <w:szCs w:val="22"/>
              </w:rPr>
              <w:t>3060</w:t>
            </w:r>
            <w:r>
              <w:rPr>
                <w:rFonts w:hint="eastAsia" w:ascii="仿宋_GB2312" w:hAnsi="宋体" w:eastAsia="仿宋_GB2312" w:cs="楷体_GB2312"/>
                <w:color w:val="000000"/>
                <w:kern w:val="0"/>
                <w:sz w:val="22"/>
                <w:szCs w:val="22"/>
              </w:rPr>
              <w:t>人。全年国培省培市培教师万人次以上。落实公费定向招生计划1327个（含新增市级计划），较去年增长83.8%。临湘市的加入，实现了县市区定向招生全覆盖。</w:t>
            </w:r>
          </w:p>
          <w:p>
            <w:pPr>
              <w:pStyle w:val="9"/>
              <w:autoSpaceDN w:val="0"/>
              <w:spacing w:line="320" w:lineRule="exact"/>
              <w:ind w:left="720" w:firstLine="0" w:firstLineChars="0"/>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六、是大力发展体育事业。经与市发改委通力协作，成功申报岳阳市为全国社会足球场重点推进城市，争取国家资金</w:t>
            </w:r>
            <w:r>
              <w:rPr>
                <w:rFonts w:ascii="仿宋_GB2312" w:hAnsi="宋体" w:eastAsia="仿宋_GB2312" w:cs="楷体_GB2312"/>
                <w:color w:val="000000"/>
                <w:kern w:val="0"/>
                <w:sz w:val="22"/>
                <w:szCs w:val="22"/>
              </w:rPr>
              <w:t>3906</w:t>
            </w:r>
            <w:r>
              <w:rPr>
                <w:rFonts w:hint="eastAsia" w:ascii="仿宋_GB2312" w:hAnsi="宋体" w:eastAsia="仿宋_GB2312" w:cs="楷体_GB2312"/>
                <w:color w:val="000000"/>
                <w:kern w:val="0"/>
                <w:sz w:val="22"/>
                <w:szCs w:val="22"/>
              </w:rPr>
              <w:t>万元，建成社会足球场</w:t>
            </w:r>
            <w:r>
              <w:rPr>
                <w:rFonts w:ascii="仿宋_GB2312" w:hAnsi="宋体" w:eastAsia="仿宋_GB2312" w:cs="楷体_GB2312"/>
                <w:color w:val="000000"/>
                <w:kern w:val="0"/>
                <w:sz w:val="22"/>
                <w:szCs w:val="22"/>
              </w:rPr>
              <w:t>71</w:t>
            </w:r>
            <w:r>
              <w:rPr>
                <w:rFonts w:hint="eastAsia" w:ascii="仿宋_GB2312" w:hAnsi="宋体" w:eastAsia="仿宋_GB2312" w:cs="楷体_GB2312"/>
                <w:color w:val="000000"/>
                <w:kern w:val="0"/>
                <w:sz w:val="22"/>
                <w:szCs w:val="22"/>
              </w:rPr>
              <w:t>片，省定任务完成率</w:t>
            </w:r>
            <w:r>
              <w:rPr>
                <w:rFonts w:ascii="仿宋_GB2312" w:hAnsi="宋体" w:eastAsia="仿宋_GB2312" w:cs="楷体_GB2312"/>
                <w:color w:val="000000"/>
                <w:kern w:val="0"/>
                <w:sz w:val="22"/>
                <w:szCs w:val="22"/>
              </w:rPr>
              <w:t>104.4%</w:t>
            </w:r>
            <w:r>
              <w:rPr>
                <w:rFonts w:hint="eastAsia" w:ascii="仿宋_GB2312" w:hAnsi="宋体" w:eastAsia="仿宋_GB2312" w:cs="楷体_GB2312"/>
                <w:color w:val="000000"/>
                <w:kern w:val="0"/>
                <w:sz w:val="22"/>
                <w:szCs w:val="22"/>
              </w:rPr>
              <w:t>。省十四运会场馆建设稳步推进，经市政府研究决定，项目全部移交至市交建投公司负责。全市体育场地面积</w:t>
            </w:r>
            <w:r>
              <w:rPr>
                <w:rFonts w:ascii="仿宋_GB2312" w:hAnsi="宋体" w:eastAsia="仿宋_GB2312" w:cs="楷体_GB2312"/>
                <w:color w:val="000000"/>
                <w:kern w:val="0"/>
                <w:sz w:val="22"/>
                <w:szCs w:val="22"/>
              </w:rPr>
              <w:t>584.6495</w:t>
            </w:r>
            <w:r>
              <w:rPr>
                <w:rFonts w:hint="eastAsia" w:ascii="仿宋_GB2312" w:hAnsi="宋体" w:eastAsia="仿宋_GB2312" w:cs="楷体_GB2312"/>
                <w:color w:val="000000"/>
                <w:kern w:val="0"/>
                <w:sz w:val="22"/>
                <w:szCs w:val="22"/>
              </w:rPr>
              <w:t>万平方米，人均体育场地面积达</w:t>
            </w:r>
            <w:r>
              <w:rPr>
                <w:rFonts w:ascii="仿宋_GB2312" w:hAnsi="宋体" w:eastAsia="仿宋_GB2312" w:cs="楷体_GB2312"/>
                <w:color w:val="000000"/>
                <w:kern w:val="0"/>
                <w:sz w:val="22"/>
                <w:szCs w:val="22"/>
              </w:rPr>
              <w:t>1.02</w:t>
            </w:r>
            <w:r>
              <w:rPr>
                <w:rFonts w:hint="eastAsia" w:ascii="仿宋_GB2312" w:hAnsi="宋体" w:eastAsia="仿宋_GB2312" w:cs="楷体_GB2312"/>
                <w:color w:val="000000"/>
                <w:kern w:val="0"/>
                <w:sz w:val="22"/>
                <w:szCs w:val="22"/>
              </w:rPr>
              <w:t>平方米。办好了最美长江（岳阳）马拉松赛、环洞庭湖新能源汽车拉力赛、</w:t>
            </w:r>
            <w:r>
              <w:rPr>
                <w:rFonts w:ascii="仿宋_GB2312" w:hAnsi="宋体" w:eastAsia="仿宋_GB2312" w:cs="楷体_GB2312"/>
                <w:color w:val="000000"/>
                <w:kern w:val="0"/>
                <w:sz w:val="22"/>
                <w:szCs w:val="22"/>
              </w:rPr>
              <w:t>2020</w:t>
            </w:r>
            <w:r>
              <w:rPr>
                <w:rFonts w:hint="eastAsia" w:ascii="仿宋_GB2312" w:hAnsi="宋体" w:eastAsia="仿宋_GB2312" w:cs="楷体_GB2312"/>
                <w:color w:val="000000"/>
                <w:kern w:val="0"/>
                <w:sz w:val="22"/>
                <w:szCs w:val="22"/>
              </w:rPr>
              <w:t>“薪火传承</w:t>
            </w:r>
            <w:r>
              <w:rPr>
                <w:rFonts w:ascii="仿宋_GB2312" w:hAnsi="宋体" w:eastAsia="仿宋_GB2312" w:cs="楷体_GB2312"/>
                <w:color w:val="000000"/>
                <w:kern w:val="0"/>
                <w:sz w:val="22"/>
                <w:szCs w:val="22"/>
              </w:rPr>
              <w:t>.</w:t>
            </w:r>
            <w:r>
              <w:rPr>
                <w:rFonts w:hint="eastAsia" w:ascii="仿宋_GB2312" w:hAnsi="宋体" w:eastAsia="仿宋_GB2312" w:cs="楷体_GB2312"/>
                <w:color w:val="000000"/>
                <w:kern w:val="0"/>
                <w:sz w:val="22"/>
                <w:szCs w:val="22"/>
              </w:rPr>
              <w:t>中国健康跑中国健康跑</w:t>
            </w:r>
            <w:r>
              <w:rPr>
                <w:rFonts w:ascii="仿宋_GB2312" w:hAnsi="宋体" w:eastAsia="仿宋_GB2312" w:cs="楷体_GB2312"/>
                <w:color w:val="000000"/>
                <w:kern w:val="0"/>
                <w:sz w:val="22"/>
                <w:szCs w:val="22"/>
              </w:rPr>
              <w:t>-</w:t>
            </w:r>
            <w:r>
              <w:rPr>
                <w:rFonts w:hint="eastAsia" w:ascii="仿宋_GB2312" w:hAnsi="宋体" w:eastAsia="仿宋_GB2312" w:cs="楷体_GB2312"/>
                <w:color w:val="000000"/>
                <w:kern w:val="0"/>
                <w:sz w:val="22"/>
                <w:szCs w:val="22"/>
              </w:rPr>
              <w:t>平江站、</w:t>
            </w:r>
            <w:r>
              <w:rPr>
                <w:rFonts w:ascii="仿宋_GB2312" w:hAnsi="宋体" w:eastAsia="仿宋_GB2312" w:cs="楷体_GB2312"/>
                <w:color w:val="000000"/>
                <w:kern w:val="0"/>
                <w:sz w:val="22"/>
                <w:szCs w:val="22"/>
              </w:rPr>
              <w:t>2020</w:t>
            </w:r>
            <w:r>
              <w:rPr>
                <w:rFonts w:hint="eastAsia" w:ascii="仿宋_GB2312" w:hAnsi="宋体" w:eastAsia="仿宋_GB2312" w:cs="楷体_GB2312"/>
                <w:color w:val="000000"/>
                <w:kern w:val="0"/>
                <w:sz w:val="22"/>
                <w:szCs w:val="22"/>
              </w:rPr>
              <w:t>健康奔小康</w:t>
            </w:r>
            <w:r>
              <w:rPr>
                <w:rFonts w:ascii="仿宋_GB2312" w:hAnsi="宋体" w:eastAsia="仿宋_GB2312" w:cs="楷体_GB2312"/>
                <w:color w:val="000000"/>
                <w:kern w:val="0"/>
                <w:sz w:val="22"/>
                <w:szCs w:val="22"/>
              </w:rPr>
              <w:t>-</w:t>
            </w:r>
            <w:r>
              <w:rPr>
                <w:rFonts w:hint="eastAsia" w:ascii="仿宋_GB2312" w:hAnsi="宋体" w:eastAsia="仿宋_GB2312" w:cs="楷体_GB2312"/>
                <w:color w:val="000000"/>
                <w:kern w:val="0"/>
                <w:sz w:val="22"/>
                <w:szCs w:val="22"/>
              </w:rPr>
              <w:t>岳阳麻布山越野赛、</w:t>
            </w:r>
            <w:r>
              <w:rPr>
                <w:rFonts w:ascii="仿宋_GB2312" w:hAnsi="宋体" w:eastAsia="仿宋_GB2312" w:cs="楷体_GB2312"/>
                <w:color w:val="000000"/>
                <w:kern w:val="0"/>
                <w:sz w:val="22"/>
                <w:szCs w:val="22"/>
              </w:rPr>
              <w:t>2020</w:t>
            </w:r>
            <w:r>
              <w:rPr>
                <w:rFonts w:hint="eastAsia" w:ascii="仿宋_GB2312" w:hAnsi="宋体" w:eastAsia="仿宋_GB2312" w:cs="楷体_GB2312"/>
                <w:color w:val="000000"/>
                <w:kern w:val="0"/>
                <w:sz w:val="22"/>
                <w:szCs w:val="22"/>
              </w:rPr>
              <w:t>湖南省第二届环洞庭湖自行车邀请赛、君山户外休闲大赛。我市选手</w:t>
            </w:r>
            <w:r>
              <w:rPr>
                <w:rFonts w:ascii="仿宋_GB2312" w:hAnsi="宋体" w:eastAsia="仿宋_GB2312" w:cs="楷体_GB2312"/>
                <w:color w:val="000000"/>
                <w:kern w:val="0"/>
                <w:sz w:val="22"/>
                <w:szCs w:val="22"/>
              </w:rPr>
              <w:t>周昊在全国飞碟射击冠军赛上夺冠</w:t>
            </w:r>
            <w:r>
              <w:rPr>
                <w:rFonts w:hint="eastAsia" w:ascii="仿宋_GB2312" w:hAnsi="宋体" w:eastAsia="仿宋_GB2312" w:cs="楷体_GB2312"/>
                <w:color w:val="000000"/>
                <w:kern w:val="0"/>
                <w:sz w:val="22"/>
                <w:szCs w:val="22"/>
              </w:rPr>
              <w:t>并破</w:t>
            </w:r>
            <w:r>
              <w:rPr>
                <w:rFonts w:ascii="仿宋_GB2312" w:hAnsi="宋体" w:eastAsia="仿宋_GB2312" w:cs="楷体_GB2312"/>
                <w:color w:val="000000"/>
                <w:kern w:val="0"/>
                <w:sz w:val="22"/>
                <w:szCs w:val="22"/>
              </w:rPr>
              <w:t>世界纪录</w:t>
            </w:r>
            <w:r>
              <w:rPr>
                <w:rFonts w:hint="eastAsia" w:ascii="仿宋_GB2312" w:hAnsi="宋体" w:eastAsia="仿宋_GB2312" w:cs="楷体_GB2312"/>
                <w:color w:val="000000"/>
                <w:kern w:val="0"/>
                <w:sz w:val="22"/>
                <w:szCs w:val="22"/>
              </w:rPr>
              <w:t>。</w:t>
            </w:r>
          </w:p>
          <w:p>
            <w:pPr>
              <w:autoSpaceDN w:val="0"/>
              <w:spacing w:line="320" w:lineRule="exact"/>
              <w:jc w:val="left"/>
              <w:textAlignment w:val="center"/>
              <w:rPr>
                <w:rFonts w:ascii="仿宋_GB2312" w:hAnsi="宋体" w:eastAsia="仿宋_GB2312" w:cs="楷体_GB2312"/>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7879.97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545.54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6881.43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453</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575</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7879.97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545.54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6881.43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453</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575</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4523.1</w:t>
            </w:r>
          </w:p>
        </w:tc>
        <w:tc>
          <w:tcPr>
            <w:tcW w:w="1355" w:type="dxa"/>
            <w:gridSpan w:val="2"/>
            <w:tcBorders>
              <w:lef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2160.09</w:t>
            </w:r>
          </w:p>
        </w:tc>
        <w:tc>
          <w:tcPr>
            <w:tcW w:w="1080" w:type="dxa"/>
            <w:gridSpan w:val="2"/>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1434.3</w:t>
            </w:r>
          </w:p>
        </w:tc>
        <w:tc>
          <w:tcPr>
            <w:tcW w:w="2160" w:type="dxa"/>
            <w:gridSpan w:val="4"/>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725.79</w:t>
            </w:r>
          </w:p>
        </w:tc>
        <w:tc>
          <w:tcPr>
            <w:tcW w:w="1080" w:type="dxa"/>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2363.01</w:t>
            </w:r>
          </w:p>
        </w:tc>
        <w:tc>
          <w:tcPr>
            <w:tcW w:w="720" w:type="dxa"/>
            <w:gridSpan w:val="3"/>
            <w:tcBorders>
              <w:right w:val="single" w:color="auto" w:sz="4" w:space="0"/>
            </w:tcBorders>
            <w:vAlign w:val="center"/>
          </w:tcPr>
          <w:p>
            <w:pPr>
              <w:rPr>
                <w:rFonts w:hint="eastAsia" w:ascii="宋体" w:hAnsi="宋体" w:cs="宋体"/>
                <w:color w:val="000000"/>
                <w:sz w:val="22"/>
                <w:szCs w:val="22"/>
              </w:rPr>
            </w:pPr>
            <w:r>
              <w:rPr>
                <w:rFonts w:hint="eastAsia" w:ascii="宋体" w:hAnsi="宋体" w:cs="宋体"/>
                <w:color w:val="000000"/>
                <w:sz w:val="22"/>
                <w:szCs w:val="22"/>
              </w:rPr>
              <w:t>1323.2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4523.1</w:t>
            </w:r>
          </w:p>
        </w:tc>
        <w:tc>
          <w:tcPr>
            <w:tcW w:w="1355" w:type="dxa"/>
            <w:gridSpan w:val="2"/>
            <w:tcBorders>
              <w:lef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2160.09</w:t>
            </w:r>
          </w:p>
        </w:tc>
        <w:tc>
          <w:tcPr>
            <w:tcW w:w="1080" w:type="dxa"/>
            <w:gridSpan w:val="2"/>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1434.3</w:t>
            </w:r>
          </w:p>
        </w:tc>
        <w:tc>
          <w:tcPr>
            <w:tcW w:w="2160" w:type="dxa"/>
            <w:gridSpan w:val="4"/>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725.79</w:t>
            </w:r>
          </w:p>
        </w:tc>
        <w:tc>
          <w:tcPr>
            <w:tcW w:w="1080" w:type="dxa"/>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2363.01</w:t>
            </w:r>
          </w:p>
        </w:tc>
        <w:tc>
          <w:tcPr>
            <w:tcW w:w="720" w:type="dxa"/>
            <w:gridSpan w:val="3"/>
            <w:tcBorders>
              <w:right w:val="single" w:color="auto" w:sz="4" w:space="0"/>
            </w:tcBorders>
            <w:vAlign w:val="center"/>
          </w:tcPr>
          <w:p>
            <w:pPr>
              <w:rPr>
                <w:rFonts w:hint="eastAsia" w:ascii="宋体" w:hAnsi="宋体" w:cs="宋体"/>
                <w:color w:val="000000"/>
                <w:sz w:val="22"/>
                <w:szCs w:val="22"/>
              </w:rPr>
            </w:pPr>
            <w:r>
              <w:rPr>
                <w:rFonts w:hint="eastAsia" w:ascii="宋体" w:hAnsi="宋体" w:cs="宋体"/>
                <w:color w:val="000000"/>
                <w:sz w:val="22"/>
                <w:szCs w:val="22"/>
              </w:rPr>
              <w:t>1323.2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21.99</w:t>
            </w:r>
          </w:p>
        </w:tc>
        <w:tc>
          <w:tcPr>
            <w:tcW w:w="1355" w:type="dxa"/>
            <w:gridSpan w:val="2"/>
            <w:tcBorders>
              <w:lef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19.12</w:t>
            </w:r>
          </w:p>
        </w:tc>
        <w:tc>
          <w:tcPr>
            <w:tcW w:w="1080" w:type="dxa"/>
            <w:gridSpan w:val="2"/>
            <w:vAlign w:val="bottom"/>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2.87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21.99</w:t>
            </w:r>
          </w:p>
        </w:tc>
        <w:tc>
          <w:tcPr>
            <w:tcW w:w="1355" w:type="dxa"/>
            <w:gridSpan w:val="2"/>
            <w:tcBorders>
              <w:lef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19.12</w:t>
            </w:r>
          </w:p>
        </w:tc>
        <w:tc>
          <w:tcPr>
            <w:tcW w:w="1080" w:type="dxa"/>
            <w:gridSpan w:val="2"/>
            <w:vAlign w:val="bottom"/>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2.87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1534.16</w:t>
            </w:r>
          </w:p>
        </w:tc>
        <w:tc>
          <w:tcPr>
            <w:tcW w:w="2435" w:type="dxa"/>
            <w:gridSpan w:val="4"/>
            <w:tcBorders>
              <w:lef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1534.16</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1534.16</w:t>
            </w:r>
          </w:p>
        </w:tc>
        <w:tc>
          <w:tcPr>
            <w:tcW w:w="2435" w:type="dxa"/>
            <w:gridSpan w:val="4"/>
            <w:tcBorders>
              <w:left w:val="single" w:color="auto" w:sz="4" w:space="0"/>
            </w:tcBorders>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1534.16</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目标1：完成教育事业年度发展任务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目标2：完成体育事业年度发展任务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目标3：完成全市中心工作</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全民完成了年度教育体育事业和全市中心工作发展任务</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投资5865.3万元，建设乡村小规模学校149所；投资34285.7万元，建设乡镇寄宿制学校计划151所。投资12156万元，建设农村公办幼儿园31所基本完成了104所城镇小区配套幼儿园治理</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楷体_GB2312"/>
                <w:color w:val="000000"/>
                <w:kern w:val="0"/>
                <w:sz w:val="22"/>
                <w:szCs w:val="22"/>
              </w:rPr>
              <w:t>。全市累计增加公办园学位35166个，公办园在园幼儿占比53.4%，排全省第2。临湘市特校9月1日建成并投入使用，补齐了我市特殊教育短板。平江县三阳芙蓉学校、汨罗市新市星火芙蓉学校建设顺利推进。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建成社会足球场68片（省定任务）</w:t>
            </w:r>
          </w:p>
        </w:tc>
        <w:tc>
          <w:tcPr>
            <w:tcW w:w="2684" w:type="dxa"/>
            <w:gridSpan w:val="6"/>
            <w:vMerge w:val="restart"/>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楷体_GB2312"/>
                <w:color w:val="000000"/>
                <w:kern w:val="0"/>
                <w:sz w:val="22"/>
                <w:szCs w:val="22"/>
              </w:rPr>
              <w:t>经与市发改委通力协作，成功申报岳阳市为全国社会足球场重点推进城市，争取国家资金</w:t>
            </w:r>
            <w:r>
              <w:rPr>
                <w:rFonts w:ascii="仿宋_GB2312" w:hAnsi="宋体" w:eastAsia="仿宋_GB2312" w:cs="楷体_GB2312"/>
                <w:color w:val="000000"/>
                <w:kern w:val="0"/>
                <w:sz w:val="22"/>
                <w:szCs w:val="22"/>
              </w:rPr>
              <w:t>3906</w:t>
            </w:r>
            <w:r>
              <w:rPr>
                <w:rFonts w:hint="eastAsia" w:ascii="仿宋_GB2312" w:hAnsi="宋体" w:eastAsia="仿宋_GB2312" w:cs="楷体_GB2312"/>
                <w:color w:val="000000"/>
                <w:kern w:val="0"/>
                <w:sz w:val="22"/>
                <w:szCs w:val="22"/>
              </w:rPr>
              <w:t>万元，建成社会足球场</w:t>
            </w:r>
            <w:r>
              <w:rPr>
                <w:rFonts w:ascii="仿宋_GB2312" w:hAnsi="宋体" w:eastAsia="仿宋_GB2312" w:cs="楷体_GB2312"/>
                <w:color w:val="000000"/>
                <w:kern w:val="0"/>
                <w:sz w:val="22"/>
                <w:szCs w:val="22"/>
              </w:rPr>
              <w:t>71</w:t>
            </w:r>
            <w:r>
              <w:rPr>
                <w:rFonts w:hint="eastAsia" w:ascii="仿宋_GB2312" w:hAnsi="宋体" w:eastAsia="仿宋_GB2312" w:cs="楷体_GB2312"/>
                <w:color w:val="000000"/>
                <w:kern w:val="0"/>
                <w:sz w:val="22"/>
                <w:szCs w:val="22"/>
              </w:rPr>
              <w:t>片，省定任务完成率</w:t>
            </w:r>
            <w:r>
              <w:rPr>
                <w:rFonts w:ascii="仿宋_GB2312" w:hAnsi="宋体" w:eastAsia="仿宋_GB2312" w:cs="楷体_GB2312"/>
                <w:color w:val="000000"/>
                <w:kern w:val="0"/>
                <w:sz w:val="22"/>
                <w:szCs w:val="22"/>
              </w:rPr>
              <w:t>104.4%</w:t>
            </w:r>
            <w:r>
              <w:rPr>
                <w:rFonts w:hint="eastAsia" w:ascii="仿宋_GB2312" w:hAnsi="宋体" w:eastAsia="仿宋_GB2312" w:cs="楷体_GB2312"/>
                <w:color w:val="000000"/>
                <w:kern w:val="0"/>
                <w:sz w:val="22"/>
                <w:szCs w:val="22"/>
              </w:rPr>
              <w:t>。省十四运会场馆建设稳步推进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cs="楷体_GB2312"/>
                <w:color w:val="000000"/>
                <w:sz w:val="22"/>
                <w:szCs w:val="22"/>
              </w:rPr>
              <w:t>办好最美长江（岳阳）国际马拉松赛</w:t>
            </w:r>
          </w:p>
        </w:tc>
        <w:tc>
          <w:tcPr>
            <w:tcW w:w="2684" w:type="dxa"/>
            <w:gridSpan w:val="6"/>
            <w:vMerge w:val="continue"/>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楷体_GB2312"/>
                <w:color w:val="000000"/>
                <w:kern w:val="0"/>
                <w:sz w:val="22"/>
                <w:szCs w:val="22"/>
              </w:rPr>
              <w:t>启动中心城区“三大片区三年行动” 计划</w:t>
            </w:r>
          </w:p>
        </w:tc>
        <w:tc>
          <w:tcPr>
            <w:tcW w:w="2684" w:type="dxa"/>
            <w:gridSpan w:val="6"/>
            <w:vMerge w:val="continue"/>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宋体" w:eastAsia="仿宋_GB2312" w:cs="楷体_GB2312"/>
                <w:color w:val="000000"/>
                <w:kern w:val="0"/>
                <w:sz w:val="22"/>
                <w:szCs w:val="22"/>
              </w:rPr>
            </w:pPr>
            <w:r>
              <w:rPr>
                <w:rFonts w:ascii="仿宋_GB2312" w:hAnsi="宋体" w:eastAsia="仿宋_GB2312" w:cs="楷体_GB2312"/>
                <w:color w:val="000000"/>
                <w:kern w:val="0"/>
                <w:sz w:val="22"/>
                <w:szCs w:val="22"/>
              </w:rPr>
              <w:t>按时完成绩效评价</w:t>
            </w:r>
          </w:p>
        </w:tc>
        <w:tc>
          <w:tcPr>
            <w:tcW w:w="2684" w:type="dxa"/>
            <w:gridSpan w:val="6"/>
            <w:vAlign w:val="center"/>
          </w:tcPr>
          <w:p>
            <w:pPr>
              <w:autoSpaceDN w:val="0"/>
              <w:spacing w:line="320" w:lineRule="exact"/>
              <w:jc w:val="center"/>
              <w:textAlignment w:val="center"/>
              <w:rPr>
                <w:rFonts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在</w:t>
            </w:r>
            <w:r>
              <w:rPr>
                <w:rFonts w:ascii="仿宋_GB2312" w:hAnsi="宋体" w:eastAsia="仿宋_GB2312" w:cs="楷体_GB2312"/>
                <w:color w:val="000000"/>
                <w:kern w:val="0"/>
                <w:sz w:val="22"/>
                <w:szCs w:val="22"/>
              </w:rPr>
              <w:t>全市年度综合绩效考评中</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被评为先进单位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宋体" w:eastAsia="仿宋_GB2312" w:cs="楷体_GB2312"/>
                <w:color w:val="000000"/>
                <w:kern w:val="0"/>
                <w:sz w:val="22"/>
                <w:szCs w:val="22"/>
              </w:rPr>
            </w:pPr>
            <w:r>
              <w:rPr>
                <w:rFonts w:ascii="仿宋_GB2312" w:hAnsi="宋体" w:eastAsia="仿宋_GB2312" w:cs="楷体_GB2312"/>
                <w:color w:val="000000"/>
                <w:kern w:val="0"/>
                <w:sz w:val="22"/>
                <w:szCs w:val="22"/>
              </w:rPr>
              <w:t>资金专款专用</w:t>
            </w:r>
          </w:p>
        </w:tc>
        <w:tc>
          <w:tcPr>
            <w:tcW w:w="2684" w:type="dxa"/>
            <w:gridSpan w:val="6"/>
            <w:vAlign w:val="center"/>
          </w:tcPr>
          <w:p>
            <w:pPr>
              <w:autoSpaceDN w:val="0"/>
              <w:spacing w:line="320" w:lineRule="exact"/>
              <w:jc w:val="center"/>
              <w:textAlignment w:val="center"/>
              <w:rPr>
                <w:rFonts w:ascii="仿宋_GB2312" w:hAnsi="宋体" w:eastAsia="仿宋_GB2312" w:cs="楷体_GB2312"/>
                <w:color w:val="000000"/>
                <w:kern w:val="0"/>
                <w:sz w:val="22"/>
                <w:szCs w:val="22"/>
              </w:rPr>
            </w:pPr>
            <w:r>
              <w:rPr>
                <w:rFonts w:ascii="仿宋_GB2312" w:hAnsi="宋体" w:eastAsia="仿宋_GB2312" w:cs="楷体_GB2312"/>
                <w:color w:val="000000"/>
                <w:kern w:val="0"/>
                <w:sz w:val="22"/>
                <w:szCs w:val="22"/>
              </w:rPr>
              <w:t>财政资金专款专用</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无挤占</w:t>
            </w:r>
            <w:r>
              <w:rPr>
                <w:rFonts w:hint="eastAsia" w:ascii="仿宋_GB2312" w:hAnsi="宋体" w:eastAsia="仿宋_GB2312" w:cs="楷体_GB2312"/>
                <w:color w:val="000000"/>
                <w:kern w:val="0"/>
                <w:sz w:val="22"/>
                <w:szCs w:val="22"/>
              </w:rPr>
              <w:t>、</w:t>
            </w:r>
            <w:r>
              <w:rPr>
                <w:rFonts w:ascii="仿宋_GB2312" w:hAnsi="宋体" w:eastAsia="仿宋_GB2312" w:cs="楷体_GB2312"/>
                <w:color w:val="000000"/>
                <w:kern w:val="0"/>
                <w:sz w:val="22"/>
                <w:szCs w:val="22"/>
              </w:rPr>
              <w:t>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全市消除义务教育大班额156个（省定任务112个），消除普通高中大班额133个</w:t>
            </w:r>
          </w:p>
        </w:tc>
        <w:tc>
          <w:tcPr>
            <w:tcW w:w="2684" w:type="dxa"/>
            <w:gridSpan w:val="6"/>
            <w:vAlign w:val="center"/>
          </w:tcPr>
          <w:p>
            <w:pPr>
              <w:autoSpaceDN w:val="0"/>
              <w:spacing w:line="320" w:lineRule="exact"/>
              <w:jc w:val="center"/>
              <w:textAlignment w:val="center"/>
              <w:rPr>
                <w:rFonts w:ascii="仿宋_GB2312" w:hAnsi="宋体" w:eastAsia="仿宋_GB2312" w:cs="楷体_GB2312"/>
                <w:color w:val="000000"/>
                <w:kern w:val="0"/>
                <w:sz w:val="22"/>
                <w:szCs w:val="22"/>
              </w:rPr>
            </w:pPr>
            <w:r>
              <w:rPr>
                <w:rFonts w:ascii="仿宋_GB2312" w:hAnsi="宋体" w:eastAsia="仿宋_GB2312" w:cs="楷体_GB2312"/>
                <w:color w:val="000000"/>
                <w:kern w:val="0"/>
                <w:sz w:val="22"/>
                <w:szCs w:val="22"/>
              </w:rPr>
              <w:t>全面完成了任务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专项资金得到有效利用</w:t>
            </w:r>
          </w:p>
        </w:tc>
        <w:tc>
          <w:tcPr>
            <w:tcW w:w="2684" w:type="dxa"/>
            <w:gridSpan w:val="6"/>
            <w:vAlign w:val="center"/>
          </w:tcPr>
          <w:p>
            <w:pPr>
              <w:autoSpaceDN w:val="0"/>
              <w:spacing w:line="320" w:lineRule="exact"/>
              <w:textAlignment w:val="center"/>
              <w:rPr>
                <w:rFonts w:hint="eastAsia"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资金合理安排，专款专用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宋体" w:eastAsia="仿宋_GB2312" w:cs="楷体_GB2312"/>
                <w:color w:val="000000"/>
                <w:kern w:val="0"/>
                <w:sz w:val="22"/>
                <w:szCs w:val="22"/>
              </w:rPr>
            </w:pPr>
            <w:r>
              <w:rPr>
                <w:rFonts w:hint="eastAsia" w:ascii="仿宋_GB2312" w:hAnsi="仿宋_GB2312" w:eastAsia="仿宋_GB2312" w:cs="仿宋_GB2312"/>
                <w:color w:val="000000"/>
                <w:sz w:val="24"/>
              </w:rPr>
              <w:t>改善学校办学条件和体育场馆设施</w:t>
            </w:r>
          </w:p>
        </w:tc>
        <w:tc>
          <w:tcPr>
            <w:tcW w:w="2684" w:type="dxa"/>
            <w:gridSpan w:val="6"/>
            <w:vAlign w:val="center"/>
          </w:tcPr>
          <w:p>
            <w:pPr>
              <w:rPr>
                <w:rFonts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改善办学条件，均衡了生源、均衡了班额、均衡了办学力量。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公众满意度高</w:t>
            </w:r>
          </w:p>
        </w:tc>
        <w:tc>
          <w:tcPr>
            <w:tcW w:w="2684" w:type="dxa"/>
            <w:gridSpan w:val="6"/>
            <w:vAlign w:val="center"/>
          </w:tcPr>
          <w:p>
            <w:pPr>
              <w:autoSpaceDN w:val="0"/>
              <w:spacing w:line="320" w:lineRule="exact"/>
              <w:jc w:val="center"/>
              <w:textAlignment w:val="center"/>
              <w:rPr>
                <w:rFonts w:ascii="仿宋_GB2312" w:hAnsi="宋体" w:eastAsia="仿宋_GB2312" w:cs="楷体_GB2312"/>
                <w:color w:val="000000"/>
                <w:kern w:val="0"/>
                <w:sz w:val="22"/>
                <w:szCs w:val="22"/>
              </w:rPr>
            </w:pPr>
            <w:r>
              <w:rPr>
                <w:rFonts w:hint="eastAsia" w:ascii="仿宋_GB2312" w:hAnsi="宋体" w:eastAsia="仿宋_GB2312" w:cs="楷体_GB2312"/>
                <w:color w:val="000000"/>
                <w:kern w:val="0"/>
                <w:sz w:val="22"/>
                <w:szCs w:val="22"/>
              </w:rPr>
              <w:t>群众对教育体育公众满意度高，阳光招生、阳光服务得到点赞；全民健身运动深入开展，广受好评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朱新和</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党组成员</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岳阳市教育体育局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张斌</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岳阳市教育体育局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杨璨</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出纳</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岳阳市教育体育局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杨璨                        联系电话：8805510</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ind w:firstLine="480" w:firstLineChars="200"/>
              <w:rPr>
                <w:rFonts w:ascii="黑体" w:hAnsi="仿宋_GB2312" w:eastAsia="黑体" w:cs="仿宋_GB2312"/>
                <w:color w:val="000000"/>
                <w:sz w:val="24"/>
              </w:rPr>
            </w:pPr>
            <w:r>
              <w:rPr>
                <w:rFonts w:hint="eastAsia" w:ascii="黑体" w:hAnsi="仿宋_GB2312" w:eastAsia="黑体" w:cs="仿宋_GB2312"/>
                <w:color w:val="000000"/>
                <w:sz w:val="24"/>
              </w:rPr>
              <w:t>一、单位基本情况</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教育体育局主要工作职能为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主管全市教师和体育从业人员工作。贯彻落实《全民健身条例》，指导开展群众性体育、竞技体育、青少年体育活动，负责体育产业发展规划和管理。局机关内设26个科室，在职在编人员84人。</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2020年度局机关截止到12月初月支出合计4523.1万元，基本支出2160.09万元，其中人员经费支出1434.3万元，公用经费支出725.79万元；项目专项支出2363.01万元。</w:t>
            </w:r>
          </w:p>
          <w:p>
            <w:pPr>
              <w:ind w:firstLine="360" w:firstLineChars="150"/>
              <w:rPr>
                <w:rFonts w:ascii="黑体" w:hAnsi="仿宋_GB2312" w:eastAsia="黑体" w:cs="仿宋_GB2312"/>
                <w:color w:val="000000"/>
                <w:sz w:val="24"/>
              </w:rPr>
            </w:pPr>
            <w:r>
              <w:rPr>
                <w:rFonts w:hint="eastAsia" w:ascii="黑体" w:hAnsi="仿宋_GB2312" w:eastAsia="黑体" w:cs="仿宋_GB2312"/>
                <w:color w:val="000000"/>
                <w:sz w:val="24"/>
              </w:rPr>
              <w:t>二、单位整体支出管理及使用情况良好</w:t>
            </w:r>
          </w:p>
          <w:p>
            <w:pPr>
              <w:spacing w:line="360" w:lineRule="auto"/>
              <w:ind w:firstLine="360" w:firstLineChars="1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截止到12月初，局机关三公经费合计21.99万元，其中公务接待费19.12万元，公务用车运行维护费2.87万元，因公出国费0万元，三公经费控制在合理的范围内，较上年大幅减少。</w:t>
            </w:r>
          </w:p>
          <w:p>
            <w:pPr>
              <w:spacing w:line="360" w:lineRule="auto"/>
              <w:ind w:firstLine="480" w:firstLineChars="200"/>
              <w:rPr>
                <w:rFonts w:ascii="黑体" w:hAnsi="仿宋_GB2312" w:eastAsia="黑体" w:cs="仿宋_GB2312"/>
                <w:color w:val="000000"/>
                <w:sz w:val="24"/>
              </w:rPr>
            </w:pPr>
            <w:r>
              <w:rPr>
                <w:rFonts w:hint="eastAsia" w:ascii="黑体" w:hAnsi="仿宋_GB2312" w:eastAsia="黑体" w:cs="仿宋_GB2312"/>
                <w:color w:val="000000"/>
                <w:sz w:val="24"/>
              </w:rPr>
              <w:t>三、单位专项组织实施情况好</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为加强单位资金使用效率，落实好财务管理制度，我局制定了财务管理制度以及风险防控措施，在资金使用审批上按照“先审核、后签字”的原则，由财务室先行审核票据，合规票据交由领导审批，不合规票据退回科室。在专项资金的使用上，根据专项工作不同要求，合理分配专项资金使用。在专项资金使用前需填报预算报告交由领导审批，纪监、审计全程监督，确保专项资金合理使用。纪检部门加强教育体育资金监管，在保障各项工作有序开展的同时，确保每一分钱都发挥最大作用。  </w:t>
            </w:r>
          </w:p>
          <w:p>
            <w:pPr>
              <w:spacing w:line="360" w:lineRule="auto"/>
              <w:ind w:firstLine="480" w:firstLineChars="200"/>
              <w:rPr>
                <w:rFonts w:ascii="黑体" w:hAnsi="仿宋_GB2312" w:eastAsia="黑体" w:cs="仿宋_GB2312"/>
                <w:color w:val="000000"/>
                <w:sz w:val="24"/>
              </w:rPr>
            </w:pPr>
            <w:r>
              <w:rPr>
                <w:rFonts w:hint="eastAsia" w:ascii="黑体" w:hAnsi="仿宋_GB2312" w:eastAsia="黑体" w:cs="仿宋_GB2312"/>
                <w:color w:val="000000"/>
                <w:sz w:val="24"/>
              </w:rPr>
              <w:t>四、存在的主要问题</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在工作中还存在着不足，财政资金的使用方面，我们需要严格把关，杜绝一些不合理的开支。</w:t>
            </w:r>
          </w:p>
          <w:p>
            <w:pPr>
              <w:spacing w:line="360" w:lineRule="auto"/>
              <w:ind w:firstLine="480" w:firstLineChars="200"/>
              <w:rPr>
                <w:rFonts w:ascii="黑体" w:hAnsi="仿宋_GB2312" w:eastAsia="黑体" w:cs="仿宋_GB2312"/>
                <w:color w:val="000000"/>
                <w:sz w:val="24"/>
              </w:rPr>
            </w:pPr>
            <w:r>
              <w:rPr>
                <w:rFonts w:hint="eastAsia" w:ascii="黑体" w:hAnsi="仿宋_GB2312" w:eastAsia="黑体" w:cs="仿宋_GB2312"/>
                <w:color w:val="000000"/>
                <w:sz w:val="24"/>
              </w:rPr>
              <w:t>五、下一年的计划</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新的一年即将开始，我单位将继续配合财政做好预算绩效管理工作，确保财政资金合规有效地使用。</w:t>
            </w:r>
          </w:p>
          <w:p>
            <w:pPr>
              <w:spacing w:line="560" w:lineRule="exact"/>
              <w:ind w:firstLine="560" w:firstLineChars="200"/>
              <w:rPr>
                <w:rFonts w:eastAsia="楷体_GB2312"/>
                <w:bCs/>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4048F"/>
    <w:multiLevelType w:val="multilevel"/>
    <w:tmpl w:val="1B14048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4D5"/>
    <w:rsid w:val="001A3909"/>
    <w:rsid w:val="001B228D"/>
    <w:rsid w:val="00257CBA"/>
    <w:rsid w:val="002E524E"/>
    <w:rsid w:val="002E6431"/>
    <w:rsid w:val="00495DBC"/>
    <w:rsid w:val="00695A49"/>
    <w:rsid w:val="008324EE"/>
    <w:rsid w:val="008C7BDE"/>
    <w:rsid w:val="00A51494"/>
    <w:rsid w:val="00BA478C"/>
    <w:rsid w:val="00CE44D5"/>
    <w:rsid w:val="00ED18FF"/>
    <w:rsid w:val="00F4483B"/>
    <w:rsid w:val="00F758AA"/>
    <w:rsid w:val="78B0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762</Words>
  <Characters>4348</Characters>
  <Lines>36</Lines>
  <Paragraphs>10</Paragraphs>
  <TotalTime>61</TotalTime>
  <ScaleCrop>false</ScaleCrop>
  <LinksUpToDate>false</LinksUpToDate>
  <CharactersWithSpaces>5100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2021-06-09T01:49:00Z</dcterms:created>
  <dc:creator>uh</dc:creator>
  <cp:lastModifiedBy>German Phillip</cp:lastModifiedBy>
  <dcterms:modified xsi:type="dcterms:W3CDTF">2021-09-27T08:52:25Z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6F007BA441024551800BABAFD56B53E3</vt:lpwstr>
  </property>
</Properties>
</file>