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岳阳市第十三中学</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岳阳市第十三中学</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岳阳市第十三中学概况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left="638" w:leftChars="304" w:firstLine="640" w:firstLineChars="200"/>
        <w:jc w:val="left"/>
        <w:rPr>
          <w:rFonts w:ascii="仿宋_GB2312" w:eastAsia="仿宋_GB2312" w:hAnsiTheme="minorEastAsia"/>
          <w:sz w:val="28"/>
          <w:szCs w:val="32"/>
        </w:rPr>
      </w:pPr>
      <w:r>
        <w:rPr>
          <w:rFonts w:hint="eastAsia" w:asciiTheme="minorEastAsia" w:hAnsiTheme="minorEastAsia"/>
          <w:sz w:val="32"/>
          <w:szCs w:val="32"/>
        </w:rPr>
        <w:t>实施高中学历教育，促进基础教育发展，提供相关社会服务，依法依规办学。</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1280" w:firstLineChars="400"/>
        <w:jc w:val="left"/>
        <w:rPr>
          <w:rFonts w:asciiTheme="minorEastAsia" w:hAnsiTheme="minorEastAsia"/>
          <w:bCs/>
          <w:kern w:val="0"/>
          <w:sz w:val="32"/>
          <w:szCs w:val="32"/>
        </w:rPr>
      </w:pPr>
      <w:r>
        <w:rPr>
          <w:rFonts w:hint="eastAsia" w:asciiTheme="minorEastAsia" w:hAnsiTheme="minorEastAsia"/>
          <w:bCs/>
          <w:kern w:val="0"/>
          <w:sz w:val="32"/>
          <w:szCs w:val="32"/>
        </w:rPr>
        <w:t>（一）内设机构设置。岳阳市第十三中学内设机构包括：办公室、教务处、政教处、总务处及教研室等。</w:t>
      </w:r>
    </w:p>
    <w:p>
      <w:pPr>
        <w:ind w:left="638" w:leftChars="304"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二</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决算单位构成。岳阳市第十三中学2020年部门决算汇总公开单位构成包括：岳阳市第十三中学本级1个，是岳阳市教育体育局下属的二级机构。</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2393.58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303.00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2183.27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234.12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　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130.58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Ansi="宋体" w:eastAsia="宋体" w:cs="宋体"/>
                <w:kern w:val="0"/>
                <w:sz w:val="24"/>
                <w:szCs w:val="24"/>
              </w:rPr>
            </w:pPr>
            <w:r>
              <w:rPr>
                <w:rFonts w:hint="eastAsia" w:hAnsi="宋体" w:eastAsia="宋体" w:cs="宋体"/>
                <w:kern w:val="0"/>
                <w:sz w:val="24"/>
                <w:szCs w:val="24"/>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b/>
                <w:bCs/>
                <w:kern w:val="0"/>
                <w:sz w:val="24"/>
                <w:szCs w:val="24"/>
              </w:rPr>
            </w:pPr>
            <w:r>
              <w:rPr>
                <w:rFonts w:hAnsi="Calibri" w:eastAsia="宋体" w:cs="Calibri"/>
                <w:kern w:val="0"/>
                <w:sz w:val="24"/>
                <w:szCs w:val="24"/>
              </w:rPr>
              <w:t>138.35</w:t>
            </w:r>
            <w:r>
              <w:rPr>
                <w:rFonts w:hAnsi="Calibri" w:eastAsia="宋体" w:cs="Calibri"/>
                <w:b/>
                <w:bCs/>
                <w:kern w:val="0"/>
                <w:sz w:val="24"/>
                <w:szCs w:val="24"/>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b/>
                <w:bCs/>
                <w:kern w:val="0"/>
                <w:sz w:val="24"/>
                <w:szCs w:val="24"/>
              </w:rPr>
              <w:t>2696.58</w:t>
            </w:r>
            <w:r>
              <w:rPr>
                <w:rFonts w:hint="eastAsia" w:hAnsi="宋体" w:eastAsia="宋体" w:cs="宋体"/>
                <w:kern w:val="0"/>
                <w:sz w:val="24"/>
                <w:szCs w:val="24"/>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b/>
                <w:bCs/>
                <w:kern w:val="0"/>
                <w:sz w:val="24"/>
                <w:szCs w:val="24"/>
              </w:rPr>
              <w:t>2686.32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13.62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39.18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26.75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11.45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b/>
                <w:bCs/>
                <w:kern w:val="0"/>
                <w:sz w:val="24"/>
                <w:szCs w:val="24"/>
              </w:rPr>
              <w:t>2736.95</w:t>
            </w:r>
            <w:r>
              <w:rPr>
                <w:rFonts w:hint="eastAsia" w:hAnsi="宋体" w:eastAsia="宋体" w:cs="宋体"/>
                <w:kern w:val="0"/>
                <w:sz w:val="24"/>
                <w:szCs w:val="24"/>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b/>
                <w:bCs/>
                <w:kern w:val="0"/>
                <w:sz w:val="24"/>
                <w:szCs w:val="24"/>
              </w:rPr>
            </w:pPr>
            <w:r>
              <w:rPr>
                <w:rFonts w:hAnsi="Calibri" w:eastAsia="宋体" w:cs="Calibri"/>
                <w:b/>
                <w:bCs/>
                <w:kern w:val="0"/>
                <w:sz w:val="24"/>
                <w:szCs w:val="24"/>
              </w:rPr>
              <w:t>2736.95　</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22176" w:type="dxa"/>
        <w:tblInd w:w="0" w:type="dxa"/>
        <w:tblLayout w:type="fixed"/>
        <w:tblCellMar>
          <w:top w:w="0" w:type="dxa"/>
          <w:left w:w="0" w:type="dxa"/>
          <w:bottom w:w="0" w:type="dxa"/>
          <w:right w:w="0" w:type="dxa"/>
        </w:tblCellMar>
      </w:tblPr>
      <w:tblGrid>
        <w:gridCol w:w="315"/>
        <w:gridCol w:w="696"/>
        <w:gridCol w:w="3764"/>
        <w:gridCol w:w="1125"/>
        <w:gridCol w:w="325"/>
        <w:gridCol w:w="1449"/>
        <w:gridCol w:w="1229"/>
        <w:gridCol w:w="220"/>
        <w:gridCol w:w="1459"/>
        <w:gridCol w:w="1364"/>
        <w:gridCol w:w="85"/>
        <w:gridCol w:w="1449"/>
        <w:gridCol w:w="1451"/>
        <w:gridCol w:w="1449"/>
        <w:gridCol w:w="1449"/>
        <w:gridCol w:w="1449"/>
        <w:gridCol w:w="1449"/>
        <w:gridCol w:w="1449"/>
      </w:tblGrid>
      <w:tr>
        <w:tblPrEx>
          <w:tblCellMar>
            <w:top w:w="0" w:type="dxa"/>
            <w:left w:w="0" w:type="dxa"/>
            <w:bottom w:w="0" w:type="dxa"/>
            <w:right w:w="0" w:type="dxa"/>
          </w:tblCellMar>
        </w:tblPrEx>
        <w:trPr>
          <w:gridAfter w:val="5"/>
          <w:wAfter w:w="7245" w:type="dxa"/>
          <w:trHeight w:val="435" w:hRule="atLeast"/>
        </w:trPr>
        <w:tc>
          <w:tcPr>
            <w:tcW w:w="14931" w:type="dxa"/>
            <w:gridSpan w:val="13"/>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5"/>
          <w:wAfter w:w="7245" w:type="dxa"/>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5"/>
          <w:wAfter w:w="7245" w:type="dxa"/>
          <w:trHeight w:val="285" w:hRule="atLeast"/>
        </w:trPr>
        <w:tc>
          <w:tcPr>
            <w:tcW w:w="101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7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2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5"/>
          <w:wAfter w:w="7245" w:type="dxa"/>
          <w:trHeight w:val="450" w:hRule="atLeast"/>
        </w:trPr>
        <w:tc>
          <w:tcPr>
            <w:tcW w:w="47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5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pPr>
            <w:r>
              <w:rPr>
                <w:rFonts w:hint="eastAsia"/>
              </w:rPr>
              <w:t>附属单位</w:t>
            </w:r>
          </w:p>
          <w:p>
            <w:pPr>
              <w:jc w:val="center"/>
              <w:rPr>
                <w:rFonts w:ascii="宋体" w:hAnsi="宋体" w:eastAsia="宋体" w:cs="宋体"/>
                <w:sz w:val="24"/>
                <w:szCs w:val="24"/>
              </w:rPr>
            </w:pPr>
            <w:r>
              <w:rPr>
                <w:rFonts w:hint="eastAsia"/>
              </w:rPr>
              <w:t>上缴收入</w:t>
            </w:r>
          </w:p>
        </w:tc>
        <w:tc>
          <w:tcPr>
            <w:tcW w:w="14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5"/>
          <w:wAfter w:w="7245" w:type="dxa"/>
          <w:trHeight w:val="450" w:hRule="atLeast"/>
        </w:trPr>
        <w:tc>
          <w:tcPr>
            <w:tcW w:w="101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76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5"/>
          <w:wAfter w:w="7245" w:type="dxa"/>
          <w:trHeight w:val="450" w:hRule="atLeast"/>
        </w:trPr>
        <w:tc>
          <w:tcPr>
            <w:tcW w:w="101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76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5"/>
          <w:wAfter w:w="7245" w:type="dxa"/>
          <w:trHeight w:val="450" w:hRule="atLeast"/>
        </w:trPr>
        <w:tc>
          <w:tcPr>
            <w:tcW w:w="47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4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4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5"/>
          <w:wAfter w:w="7245" w:type="dxa"/>
          <w:trHeight w:val="450" w:hRule="atLeast"/>
        </w:trPr>
        <w:tc>
          <w:tcPr>
            <w:tcW w:w="47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合计</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b/>
                <w:bCs/>
                <w:sz w:val="24"/>
                <w:szCs w:val="24"/>
              </w:rPr>
            </w:pPr>
            <w:r>
              <w:rPr>
                <w:rFonts w:hint="eastAsia"/>
                <w:b/>
                <w:bCs/>
                <w:sz w:val="24"/>
                <w:szCs w:val="24"/>
              </w:rPr>
              <w:t>2696.58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b/>
                <w:bCs/>
                <w:sz w:val="24"/>
                <w:szCs w:val="24"/>
              </w:rPr>
            </w:pPr>
            <w:r>
              <w:rPr>
                <w:rFonts w:hint="eastAsia"/>
                <w:b/>
                <w:bCs/>
                <w:sz w:val="24"/>
                <w:szCs w:val="24"/>
              </w:rPr>
              <w:t>2393.58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b/>
                <w:bCs/>
                <w:sz w:val="24"/>
                <w:szCs w:val="24"/>
              </w:rPr>
            </w:pPr>
            <w:r>
              <w:rPr>
                <w:rFonts w:hint="eastAsia"/>
                <w:b/>
                <w:bCs/>
                <w:sz w:val="24"/>
                <w:szCs w:val="24"/>
              </w:rPr>
              <w:t>0.00　</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b/>
                <w:bCs/>
                <w:sz w:val="24"/>
                <w:szCs w:val="24"/>
              </w:rPr>
            </w:pPr>
            <w:r>
              <w:rPr>
                <w:rFonts w:hint="eastAsia"/>
                <w:b/>
                <w:bCs/>
                <w:sz w:val="24"/>
                <w:szCs w:val="24"/>
              </w:rPr>
              <w:t>303.00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b/>
                <w:bCs/>
                <w:sz w:val="24"/>
                <w:szCs w:val="24"/>
              </w:rPr>
            </w:pPr>
            <w:r>
              <w:rPr>
                <w:rFonts w:hint="eastAsia"/>
                <w:b/>
                <w:bCs/>
                <w:sz w:val="24"/>
                <w:szCs w:val="24"/>
              </w:rPr>
              <w:t>0.00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b/>
                <w:bCs/>
                <w:sz w:val="24"/>
                <w:szCs w:val="24"/>
              </w:rPr>
            </w:pPr>
            <w:r>
              <w:rPr>
                <w:rFonts w:hint="eastAsia"/>
                <w:b/>
                <w:bCs/>
                <w:sz w:val="24"/>
                <w:szCs w:val="24"/>
              </w:rPr>
              <w:t>0.00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b/>
                <w:bCs/>
                <w:sz w:val="24"/>
                <w:szCs w:val="24"/>
              </w:rPr>
            </w:pPr>
            <w:r>
              <w:rPr>
                <w:rFonts w:hint="eastAsia"/>
                <w:b/>
                <w:bCs/>
                <w:sz w:val="24"/>
                <w:szCs w:val="24"/>
              </w:rPr>
              <w:t>0.00　</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205</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教育支出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2193.53</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1890.53</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303.00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20502</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普通教育</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1283.81</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980.81</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303.00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cs="宋体"/>
                <w:sz w:val="24"/>
                <w:szCs w:val="24"/>
              </w:rPr>
            </w:pPr>
            <w:r>
              <w:rPr>
                <w:rFonts w:hint="eastAsia"/>
              </w:rPr>
              <w:t>2050204</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宋体" w:hAnsi="宋体" w:eastAsia="宋体" w:cs="宋体"/>
                <w:sz w:val="24"/>
                <w:szCs w:val="24"/>
              </w:rPr>
            </w:pPr>
            <w:r>
              <w:rPr>
                <w:rFonts w:hint="eastAsia"/>
              </w:rPr>
              <w:t>高中教育　</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1134.81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978.81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156.00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2050299</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其他普通教育支出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华文中宋" w:eastAsia="华文中宋" w:cs="宋体"/>
                <w:sz w:val="24"/>
                <w:szCs w:val="24"/>
              </w:rPr>
            </w:pPr>
            <w:r>
              <w:rPr>
                <w:rFonts w:hint="eastAsia" w:hAnsi="华文中宋" w:eastAsia="华文中宋"/>
                <w:sz w:val="24"/>
                <w:szCs w:val="24"/>
              </w:rPr>
              <w:t>149.00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2.00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147.00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20509　</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教育费附加安排的支出　</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909.72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909.72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2050999</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其他教育费附加安排的支出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909.72</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909.72</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pPr>
            <w:r>
              <w:rPr>
                <w:rFonts w:hint="eastAsia"/>
              </w:rPr>
              <w:t>208</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社会保障和就业支出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234.12</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234.12</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Calibri" w:cs="Calibri"/>
                <w:sz w:val="24"/>
                <w:szCs w:val="24"/>
              </w:rPr>
            </w:pPr>
            <w:r>
              <w:rPr>
                <w:rFonts w:hAnsi="Calibri" w:cs="Calibri"/>
                <w:sz w:val="24"/>
                <w:szCs w:val="24"/>
              </w:rPr>
              <w:t>0.00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Calibri" w:cs="Calibri"/>
                <w:sz w:val="24"/>
                <w:szCs w:val="24"/>
              </w:rPr>
            </w:pPr>
            <w:r>
              <w:rPr>
                <w:rFonts w:hAnsi="Calibri" w:cs="Calibri"/>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20805</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行政事业单位养老支出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207.42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207.42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2080502　</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事业单位离退休</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22.95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22.95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2080505</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机关事业单位基本养老保险缴费支出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184.47</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184.47</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20808</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抚恤</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26.70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26.70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2080899</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其他优抚支出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26.70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26.70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卫生健康支出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130.58</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130.58</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行政事业单位医疗</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130.58</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130.58</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2101102</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事业单位医疗 </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130.58</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130.58</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住房保障支出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138.35</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138.35</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住房改革支出</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138.35</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138.35</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gridAfter w:val="5"/>
          <w:wAfter w:w="7245" w:type="dxa"/>
          <w:trHeight w:val="450" w:hRule="atLeast"/>
        </w:trPr>
        <w:tc>
          <w:tcPr>
            <w:tcW w:w="10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2210201　</w:t>
            </w:r>
          </w:p>
        </w:tc>
        <w:tc>
          <w:tcPr>
            <w:tcW w:w="3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住房公积金</w:t>
            </w:r>
          </w:p>
        </w:tc>
        <w:tc>
          <w:tcPr>
            <w:tcW w:w="14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138.35</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138.35</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Ansi="宋体" w:eastAsia="宋体" w:cs="宋体"/>
                <w:sz w:val="24"/>
                <w:szCs w:val="24"/>
              </w:rPr>
            </w:pPr>
            <w:r>
              <w:rPr>
                <w:rFonts w:hint="eastAsia"/>
                <w:sz w:val="24"/>
                <w:szCs w:val="24"/>
              </w:rPr>
              <w:t>0.00　</w:t>
            </w:r>
          </w:p>
        </w:tc>
        <w:tc>
          <w:tcPr>
            <w:tcW w:w="14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0.00</w:t>
            </w:r>
          </w:p>
        </w:tc>
      </w:tr>
      <w:tr>
        <w:tblPrEx>
          <w:tblCellMar>
            <w:top w:w="0" w:type="dxa"/>
            <w:left w:w="0" w:type="dxa"/>
            <w:bottom w:w="0" w:type="dxa"/>
            <w:right w:w="0" w:type="dxa"/>
          </w:tblCellMar>
        </w:tblPrEx>
        <w:trPr>
          <w:trHeight w:val="615" w:hRule="atLeast"/>
        </w:trPr>
        <w:tc>
          <w:tcPr>
            <w:tcW w:w="14931" w:type="dxa"/>
            <w:gridSpan w:val="13"/>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c>
          <w:tcPr>
            <w:tcW w:w="1449" w:type="dxa"/>
            <w:tcBorders>
              <w:top w:val="nil"/>
              <w:left w:val="nil"/>
              <w:bottom w:val="nil"/>
              <w:right w:val="nil"/>
            </w:tcBorders>
            <w:shd w:val="clear" w:color="auto" w:fill="auto"/>
            <w:tcMar>
              <w:top w:w="15" w:type="dxa"/>
              <w:left w:w="15" w:type="dxa"/>
              <w:bottom w:w="0" w:type="dxa"/>
              <w:right w:w="15" w:type="dxa"/>
            </w:tcMar>
            <w:vAlign w:val="center"/>
          </w:tcPr>
          <w:p/>
        </w:tc>
        <w:tc>
          <w:tcPr>
            <w:tcW w:w="1449" w:type="dxa"/>
            <w:tcBorders>
              <w:top w:val="nil"/>
              <w:left w:val="nil"/>
              <w:bottom w:val="nil"/>
              <w:right w:val="nil"/>
            </w:tcBorders>
            <w:shd w:val="clear" w:color="auto" w:fill="auto"/>
            <w:tcMar>
              <w:top w:w="15" w:type="dxa"/>
              <w:left w:w="15" w:type="dxa"/>
              <w:bottom w:w="0" w:type="dxa"/>
              <w:right w:w="15" w:type="dxa"/>
            </w:tcMar>
            <w:vAlign w:val="center"/>
          </w:tcPr>
          <w:p/>
        </w:tc>
        <w:tc>
          <w:tcPr>
            <w:tcW w:w="1449" w:type="dxa"/>
            <w:tcBorders>
              <w:top w:val="nil"/>
              <w:left w:val="nil"/>
              <w:bottom w:val="nil"/>
              <w:right w:val="nil"/>
            </w:tcBorders>
            <w:shd w:val="clear" w:color="auto" w:fill="auto"/>
            <w:tcMar>
              <w:top w:w="15" w:type="dxa"/>
              <w:left w:w="15" w:type="dxa"/>
              <w:bottom w:w="0" w:type="dxa"/>
              <w:right w:w="15" w:type="dxa"/>
            </w:tcMar>
            <w:vAlign w:val="center"/>
          </w:tcPr>
          <w:p/>
        </w:tc>
        <w:tc>
          <w:tcPr>
            <w:tcW w:w="1449" w:type="dxa"/>
            <w:tcBorders>
              <w:top w:val="nil"/>
              <w:left w:val="nil"/>
              <w:bottom w:val="nil"/>
              <w:right w:val="nil"/>
            </w:tcBorders>
            <w:shd w:val="clear" w:color="auto" w:fill="auto"/>
            <w:tcMar>
              <w:top w:w="15" w:type="dxa"/>
              <w:left w:w="15" w:type="dxa"/>
              <w:bottom w:w="0" w:type="dxa"/>
              <w:right w:w="15" w:type="dxa"/>
            </w:tcMar>
            <w:vAlign w:val="center"/>
          </w:tcPr>
          <w:p/>
        </w:tc>
        <w:tc>
          <w:tcPr>
            <w:tcW w:w="1449" w:type="dxa"/>
            <w:tcBorders>
              <w:top w:val="nil"/>
              <w:left w:val="nil"/>
              <w:bottom w:val="nil"/>
              <w:right w:val="nil"/>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042"/>
        <w:gridCol w:w="240"/>
        <w:gridCol w:w="3852"/>
        <w:gridCol w:w="1185"/>
        <w:gridCol w:w="156"/>
        <w:gridCol w:w="474"/>
        <w:gridCol w:w="568"/>
        <w:gridCol w:w="299"/>
        <w:gridCol w:w="1341"/>
        <w:gridCol w:w="39"/>
        <w:gridCol w:w="1302"/>
        <w:gridCol w:w="377"/>
        <w:gridCol w:w="964"/>
        <w:gridCol w:w="1344"/>
      </w:tblGrid>
      <w:tr>
        <w:tblPrEx>
          <w:tblCellMar>
            <w:top w:w="0" w:type="dxa"/>
            <w:left w:w="108" w:type="dxa"/>
            <w:bottom w:w="0" w:type="dxa"/>
            <w:right w:w="108" w:type="dxa"/>
          </w:tblCellMar>
        </w:tblPrEx>
        <w:trPr>
          <w:trHeight w:val="435" w:hRule="atLeast"/>
        </w:trPr>
        <w:tc>
          <w:tcPr>
            <w:tcW w:w="13183" w:type="dxa"/>
            <w:gridSpan w:val="1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68"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13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4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4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4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3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513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4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4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4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4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513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合计</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b/>
                <w:bCs/>
                <w:sz w:val="24"/>
                <w:szCs w:val="24"/>
              </w:rPr>
            </w:pPr>
            <w:r>
              <w:rPr>
                <w:rFonts w:hint="eastAsia"/>
                <w:b/>
                <w:bCs/>
                <w:sz w:val="24"/>
                <w:szCs w:val="24"/>
              </w:rPr>
              <w:t>2686.32　</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b/>
                <w:bCs/>
                <w:sz w:val="24"/>
                <w:szCs w:val="24"/>
              </w:rPr>
            </w:pPr>
            <w:r>
              <w:rPr>
                <w:rFonts w:hint="eastAsia"/>
                <w:b/>
                <w:bCs/>
                <w:sz w:val="24"/>
                <w:szCs w:val="24"/>
              </w:rPr>
              <w:t>2520.52　</w:t>
            </w:r>
          </w:p>
        </w:tc>
        <w:tc>
          <w:tcPr>
            <w:tcW w:w="13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rPr>
              <w:t>165.80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sz w:val="24"/>
                <w:szCs w:val="24"/>
              </w:rPr>
            </w:pPr>
            <w:r>
              <w:rPr>
                <w:rFonts w:hint="eastAsia"/>
                <w:b/>
                <w:bCs/>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sz w:val="24"/>
                <w:szCs w:val="24"/>
              </w:rPr>
            </w:pPr>
            <w:r>
              <w:rPr>
                <w:rFonts w:hint="eastAsia"/>
                <w:b/>
                <w:bCs/>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sz w:val="24"/>
                <w:szCs w:val="24"/>
              </w:rPr>
            </w:pPr>
            <w:r>
              <w:rPr>
                <w:rFonts w:hint="eastAsia"/>
                <w:b/>
                <w:bCs/>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205</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教育支出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2183.27　</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2044.17　</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139.10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20502</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普通教育</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1271.38　</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1271.38　</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ascii="宋体" w:hAnsi="宋体" w:cs="宋体"/>
                <w:sz w:val="24"/>
                <w:szCs w:val="24"/>
              </w:rPr>
            </w:pPr>
            <w:r>
              <w:rPr>
                <w:rFonts w:hint="eastAsia"/>
              </w:rPr>
              <w:t>2050204</w:t>
            </w:r>
          </w:p>
        </w:tc>
        <w:tc>
          <w:tcPr>
            <w:tcW w:w="3852" w:type="dxa"/>
            <w:tcBorders>
              <w:top w:val="nil"/>
              <w:left w:val="nil"/>
              <w:bottom w:val="single" w:color="auto" w:sz="4" w:space="0"/>
              <w:right w:val="single" w:color="auto" w:sz="4" w:space="0"/>
            </w:tcBorders>
            <w:shd w:val="clear" w:color="000000" w:fill="FFFFFF"/>
            <w:noWrap/>
            <w:vAlign w:val="center"/>
          </w:tcPr>
          <w:p>
            <w:pPr>
              <w:ind w:firstLine="210" w:firstLineChars="100"/>
              <w:rPr>
                <w:rFonts w:ascii="宋体" w:hAnsi="宋体" w:eastAsia="宋体" w:cs="宋体"/>
                <w:sz w:val="24"/>
                <w:szCs w:val="24"/>
              </w:rPr>
            </w:pPr>
            <w:r>
              <w:rPr>
                <w:rFonts w:hint="eastAsia"/>
              </w:rPr>
              <w:t>高中教育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1122.38　</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1122.38　</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2050299</w:t>
            </w:r>
          </w:p>
        </w:tc>
        <w:tc>
          <w:tcPr>
            <w:tcW w:w="3852"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其他普通教育支出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149.00</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149</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20509　</w:t>
            </w:r>
          </w:p>
        </w:tc>
        <w:tc>
          <w:tcPr>
            <w:tcW w:w="3852"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教育费附加安排的支出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898.27</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759.17</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139.10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pPr>
            <w:r>
              <w:rPr>
                <w:rFonts w:hint="eastAsia"/>
              </w:rPr>
              <w:t>2050999</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 xml:space="preserve">  其他教育费附加安排的支出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898.27</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759.17</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139.10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pPr>
            <w:r>
              <w:rPr>
                <w:rFonts w:hint="eastAsia"/>
              </w:rPr>
              <w:t>20599</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其他教育支出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13.62</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13.62</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pPr>
            <w:r>
              <w:rPr>
                <w:rFonts w:hint="eastAsia"/>
              </w:rPr>
              <w:t>2059999</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 xml:space="preserve">  其他教育支出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13.62</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13.62</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pPr>
            <w:r>
              <w:rPr>
                <w:rFonts w:hint="eastAsia"/>
              </w:rPr>
              <w:t>208</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社会保障和就业支出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234.12</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207.42</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26.70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20805</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行政事业单位养老支出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207.42</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207.42</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2080502　</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 xml:space="preserve">  事业单位离退休</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22.92</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22.92</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2080505</w:t>
            </w:r>
          </w:p>
        </w:tc>
        <w:tc>
          <w:tcPr>
            <w:tcW w:w="3852"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机关事业单位基本养老保险缴费支出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184.47</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184.47</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20808</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抚恤</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26.70</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26.70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2080899</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 xml:space="preserve">  其他优抚支出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26.70</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26.70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卫生健康支出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130.58　</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130.58　</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21011</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行政事业单位医疗</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130.58　</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130.58　</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2101102</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 xml:space="preserve">   事业单位医疗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130.58　</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130.58　</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住房保障支出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138.35　</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138.35　</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22102</w:t>
            </w:r>
          </w:p>
        </w:tc>
        <w:tc>
          <w:tcPr>
            <w:tcW w:w="3852" w:type="dxa"/>
            <w:tcBorders>
              <w:top w:val="nil"/>
              <w:left w:val="nil"/>
              <w:bottom w:val="single" w:color="auto" w:sz="4" w:space="0"/>
              <w:right w:val="single" w:color="auto" w:sz="4" w:space="0"/>
            </w:tcBorders>
            <w:shd w:val="clear" w:color="000000" w:fill="FFFFFF"/>
            <w:noWrap/>
            <w:vAlign w:val="center"/>
          </w:tcPr>
          <w:p>
            <w:r>
              <w:rPr>
                <w:rFonts w:hint="eastAsia"/>
              </w:rPr>
              <w:t>住房改革支出</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138.35</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138.35</w:t>
            </w:r>
          </w:p>
        </w:tc>
        <w:tc>
          <w:tcPr>
            <w:tcW w:w="1341"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2210201　</w:t>
            </w:r>
          </w:p>
        </w:tc>
        <w:tc>
          <w:tcPr>
            <w:tcW w:w="3852"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住房公积金</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138.35</w:t>
            </w:r>
          </w:p>
        </w:tc>
        <w:tc>
          <w:tcPr>
            <w:tcW w:w="1341"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138.35</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sz w:val="24"/>
                <w:szCs w:val="24"/>
              </w:rPr>
              <w:t>0.00　</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1"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c>
          <w:tcPr>
            <w:tcW w:w="1344" w:type="dxa"/>
            <w:tcBorders>
              <w:top w:val="nil"/>
              <w:left w:val="nil"/>
              <w:bottom w:val="single" w:color="auto" w:sz="4" w:space="0"/>
              <w:right w:val="single" w:color="auto" w:sz="4" w:space="0"/>
            </w:tcBorders>
            <w:shd w:val="clear" w:color="auto" w:fill="auto"/>
            <w:noWrap/>
            <w:vAlign w:val="center"/>
          </w:tcPr>
          <w:p>
            <w:pPr>
              <w:jc w:val="right"/>
              <w:rPr>
                <w:sz w:val="24"/>
                <w:szCs w:val="24"/>
              </w:rPr>
            </w:pPr>
            <w:r>
              <w:rPr>
                <w:rFonts w:hint="eastAsia"/>
                <w:sz w:val="24"/>
                <w:szCs w:val="24"/>
              </w:rPr>
              <w:t>0.00</w:t>
            </w:r>
          </w:p>
        </w:tc>
      </w:tr>
      <w:tr>
        <w:tblPrEx>
          <w:tblCellMar>
            <w:top w:w="0" w:type="dxa"/>
            <w:left w:w="108" w:type="dxa"/>
            <w:bottom w:w="0" w:type="dxa"/>
            <w:right w:w="108" w:type="dxa"/>
          </w:tblCellMar>
        </w:tblPrEx>
        <w:trPr>
          <w:trHeight w:val="630" w:hRule="atLeast"/>
        </w:trPr>
        <w:tc>
          <w:tcPr>
            <w:tcW w:w="13183" w:type="dxa"/>
            <w:gridSpan w:val="1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95"/>
        <w:gridCol w:w="654"/>
        <w:gridCol w:w="1356"/>
        <w:gridCol w:w="249"/>
        <w:gridCol w:w="3298"/>
        <w:gridCol w:w="377"/>
        <w:gridCol w:w="675"/>
        <w:gridCol w:w="1329"/>
        <w:gridCol w:w="66"/>
        <w:gridCol w:w="1245"/>
        <w:gridCol w:w="18"/>
        <w:gridCol w:w="1329"/>
        <w:gridCol w:w="78"/>
        <w:gridCol w:w="125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65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05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24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25"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25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9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5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9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5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8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667" w:type="dxa"/>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2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3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2393.58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0.00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0.00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1905.83</w:t>
            </w:r>
            <w:r>
              <w:rPr>
                <w:rFonts w:hAnsi="Calibri" w:eastAsia="宋体" w:cs="Calibri"/>
                <w:kern w:val="0"/>
                <w:sz w:val="24"/>
                <w:szCs w:val="24"/>
              </w:rPr>
              <w:t>　</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1905.83</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234.12</w:t>
            </w:r>
            <w:r>
              <w:rPr>
                <w:rFonts w:hAnsi="Calibri" w:eastAsia="宋体" w:cs="Calibri"/>
                <w:kern w:val="0"/>
                <w:sz w:val="24"/>
                <w:szCs w:val="24"/>
              </w:rPr>
              <w:t>　</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234.12</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九、卫生健康支出</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130.58</w:t>
            </w:r>
            <w:r>
              <w:rPr>
                <w:rFonts w:hAnsi="Calibri" w:eastAsia="宋体" w:cs="Calibri"/>
                <w:kern w:val="0"/>
                <w:sz w:val="24"/>
                <w:szCs w:val="24"/>
              </w:rPr>
              <w:t>　</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130.58</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Ansi="宋体" w:eastAsia="宋体" w:cs="宋体"/>
                <w:kern w:val="0"/>
                <w:sz w:val="24"/>
                <w:szCs w:val="24"/>
              </w:rPr>
            </w:pPr>
            <w:r>
              <w:rPr>
                <w:rFonts w:hint="eastAsia" w:hAnsi="宋体" w:eastAsia="宋体" w:cs="宋体"/>
                <w:kern w:val="0"/>
                <w:sz w:val="24"/>
                <w:szCs w:val="24"/>
              </w:rPr>
              <w:t>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十九、住房保障支出　</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138.35</w:t>
            </w:r>
            <w:r>
              <w:rPr>
                <w:rFonts w:hAnsi="Calibri" w:eastAsia="宋体" w:cs="Calibri"/>
                <w:kern w:val="0"/>
                <w:sz w:val="24"/>
                <w:szCs w:val="24"/>
              </w:rPr>
              <w:t>　</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138.35</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2393.58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2408.88</w:t>
            </w:r>
            <w:r>
              <w:rPr>
                <w:rFonts w:hAnsi="Calibri" w:eastAsia="宋体" w:cs="Calibri"/>
                <w:kern w:val="0"/>
                <w:sz w:val="24"/>
                <w:szCs w:val="24"/>
              </w:rPr>
              <w:t>　</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2408.88</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b/>
                <w:bCs/>
                <w:kern w:val="0"/>
                <w:sz w:val="24"/>
                <w:szCs w:val="24"/>
              </w:rPr>
            </w:pPr>
            <w:r>
              <w:rPr>
                <w:rFonts w:hint="eastAsia" w:hAnsi="Calibri" w:eastAsia="宋体" w:cs="Calibri"/>
                <w:kern w:val="0"/>
                <w:sz w:val="24"/>
                <w:szCs w:val="24"/>
              </w:rPr>
              <w:t>0.00</w:t>
            </w:r>
            <w:r>
              <w:rPr>
                <w:rFonts w:hAnsi="Calibri" w:eastAsia="宋体" w:cs="Calibri"/>
                <w:b/>
                <w:bCs/>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年初财政拨款结转和结余</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26.75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11.45</w:t>
            </w:r>
            <w:r>
              <w:rPr>
                <w:rFonts w:hAnsi="Calibri" w:eastAsia="宋体" w:cs="Calibri"/>
                <w:kern w:val="0"/>
                <w:sz w:val="24"/>
                <w:szCs w:val="24"/>
              </w:rPr>
              <w:t>　</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11.45</w:t>
            </w: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int="eastAsia" w:hAnsi="Calibri" w:eastAsia="宋体" w:cs="Calibri"/>
                <w:kern w:val="0"/>
                <w:sz w:val="24"/>
                <w:szCs w:val="24"/>
              </w:rPr>
              <w:t>0.00</w:t>
            </w: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26.75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rPr>
                <w:rFonts w:ascii="宋体" w:hAnsi="宋体" w:eastAsia="宋体" w:cs="宋体"/>
                <w:kern w:val="0"/>
                <w:sz w:val="22"/>
              </w:rPr>
            </w:pPr>
            <w:r>
              <w:rPr>
                <w:rFonts w:hint="eastAsia" w:ascii="宋体" w:hAnsi="宋体" w:eastAsia="宋体" w:cs="宋体"/>
                <w:kern w:val="0"/>
                <w:sz w:val="22"/>
              </w:rPr>
              <w:t>政府性基金预算财政拨款</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0.00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rPr>
                <w:rFonts w:ascii="宋体" w:hAnsi="宋体" w:eastAsia="宋体" w:cs="宋体"/>
                <w:kern w:val="0"/>
                <w:sz w:val="22"/>
              </w:rPr>
            </w:pPr>
            <w:r>
              <w:rPr>
                <w:rFonts w:hint="eastAsia" w:ascii="宋体" w:hAnsi="宋体" w:eastAsia="宋体" w:cs="宋体"/>
                <w:kern w:val="0"/>
                <w:sz w:val="22"/>
              </w:rPr>
              <w:t>国有资本经营预算财政拨款</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宋体" w:eastAsia="宋体" w:cs="宋体"/>
                <w:kern w:val="0"/>
                <w:sz w:val="24"/>
                <w:szCs w:val="24"/>
              </w:rPr>
            </w:pPr>
            <w:r>
              <w:rPr>
                <w:rFonts w:hint="eastAsia" w:hAnsi="宋体" w:eastAsia="宋体" w:cs="宋体"/>
                <w:kern w:val="0"/>
                <w:sz w:val="24"/>
                <w:szCs w:val="24"/>
              </w:rPr>
              <w:t>0.00　</w:t>
            </w:r>
          </w:p>
        </w:tc>
        <w:tc>
          <w:tcPr>
            <w:tcW w:w="36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c>
          <w:tcPr>
            <w:tcW w:w="132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kern w:val="0"/>
                <w:sz w:val="24"/>
                <w:szCs w:val="24"/>
              </w:rPr>
            </w:pPr>
            <w:r>
              <w:rPr>
                <w:rFonts w:hAnsi="Calibri" w:eastAsia="宋体" w:cs="Calibri"/>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5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b/>
                <w:bCs/>
                <w:kern w:val="0"/>
                <w:sz w:val="24"/>
                <w:szCs w:val="24"/>
              </w:rPr>
            </w:pPr>
            <w:r>
              <w:rPr>
                <w:rFonts w:hint="eastAsia" w:hAnsi="Calibri" w:eastAsia="宋体" w:cs="Calibri"/>
                <w:b/>
                <w:bCs/>
                <w:kern w:val="0"/>
                <w:sz w:val="24"/>
                <w:szCs w:val="24"/>
              </w:rPr>
              <w:t>2420.33　</w:t>
            </w:r>
          </w:p>
        </w:tc>
        <w:tc>
          <w:tcPr>
            <w:tcW w:w="3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329" w:type="dxa"/>
            <w:tcBorders>
              <w:top w:val="nil"/>
              <w:left w:val="nil"/>
              <w:bottom w:val="single" w:color="auto" w:sz="4" w:space="0"/>
              <w:right w:val="single" w:color="auto" w:sz="4" w:space="0"/>
            </w:tcBorders>
            <w:shd w:val="clear" w:color="000000" w:fill="FFFFFF"/>
            <w:noWrap/>
            <w:vAlign w:val="center"/>
          </w:tcPr>
          <w:p>
            <w:pPr>
              <w:widowControl/>
              <w:jc w:val="right"/>
              <w:rPr>
                <w:rFonts w:hAnsi="Calibri" w:eastAsia="宋体" w:cs="Calibri"/>
                <w:b/>
                <w:bCs/>
                <w:kern w:val="0"/>
                <w:sz w:val="24"/>
                <w:szCs w:val="24"/>
              </w:rPr>
            </w:pPr>
            <w:r>
              <w:rPr>
                <w:rFonts w:hint="eastAsia" w:hAnsi="Calibri" w:eastAsia="宋体" w:cs="Calibri"/>
                <w:b/>
                <w:bCs/>
                <w:kern w:val="0"/>
                <w:sz w:val="24"/>
                <w:szCs w:val="24"/>
              </w:rPr>
              <w:t>2420.33</w:t>
            </w:r>
            <w:r>
              <w:rPr>
                <w:rFonts w:hAnsi="Calibri" w:eastAsia="宋体" w:cs="Calibri"/>
                <w:b/>
                <w:bCs/>
                <w:kern w:val="0"/>
                <w:sz w:val="24"/>
                <w:szCs w:val="24"/>
              </w:rPr>
              <w:t>　</w:t>
            </w:r>
          </w:p>
        </w:tc>
        <w:tc>
          <w:tcPr>
            <w:tcW w:w="1329"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hAnsi="Calibri" w:eastAsia="宋体" w:cs="Calibri"/>
                <w:b/>
                <w:bCs/>
                <w:kern w:val="0"/>
                <w:sz w:val="24"/>
                <w:szCs w:val="24"/>
              </w:rPr>
            </w:pPr>
            <w:r>
              <w:rPr>
                <w:rFonts w:hint="eastAsia" w:hAnsi="Calibri" w:eastAsia="宋体" w:cs="Calibri"/>
                <w:b/>
                <w:bCs/>
                <w:kern w:val="0"/>
                <w:sz w:val="24"/>
                <w:szCs w:val="24"/>
              </w:rPr>
              <w:t>2420.33</w:t>
            </w:r>
            <w:r>
              <w:rPr>
                <w:rFonts w:hAnsi="Calibri" w:eastAsia="宋体" w:cs="Calibri"/>
                <w:b/>
                <w:bCs/>
                <w:kern w:val="0"/>
                <w:sz w:val="24"/>
                <w:szCs w:val="24"/>
              </w:rPr>
              <w:t>　</w:t>
            </w:r>
          </w:p>
        </w:tc>
        <w:tc>
          <w:tcPr>
            <w:tcW w:w="1329" w:type="dxa"/>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b/>
                <w:bCs/>
                <w:kern w:val="0"/>
                <w:sz w:val="24"/>
                <w:szCs w:val="24"/>
              </w:rPr>
            </w:pPr>
            <w:r>
              <w:rPr>
                <w:rFonts w:hint="eastAsia" w:hAnsi="Calibri" w:eastAsia="宋体" w:cs="Calibri"/>
                <w:b/>
                <w:bCs/>
                <w:kern w:val="0"/>
                <w:sz w:val="24"/>
                <w:szCs w:val="24"/>
              </w:rPr>
              <w:t>0.00</w:t>
            </w:r>
            <w:r>
              <w:rPr>
                <w:rFonts w:hAnsi="Calibri" w:eastAsia="宋体" w:cs="Calibri"/>
                <w:b/>
                <w:bCs/>
                <w:kern w:val="0"/>
                <w:sz w:val="24"/>
                <w:szCs w:val="24"/>
              </w:rPr>
              <w:t>　</w:t>
            </w:r>
          </w:p>
        </w:tc>
        <w:tc>
          <w:tcPr>
            <w:tcW w:w="13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Ansi="Calibri" w:eastAsia="宋体" w:cs="Calibri"/>
                <w:b/>
                <w:bCs/>
                <w:kern w:val="0"/>
                <w:sz w:val="24"/>
                <w:szCs w:val="24"/>
              </w:rPr>
            </w:pPr>
            <w:r>
              <w:rPr>
                <w:rFonts w:hint="eastAsia" w:hAnsi="Calibri" w:eastAsia="宋体" w:cs="Calibri"/>
                <w:b/>
                <w:bCs/>
                <w:kern w:val="0"/>
                <w:sz w:val="24"/>
                <w:szCs w:val="24"/>
              </w:rPr>
              <w:t>0.00</w:t>
            </w:r>
            <w:r>
              <w:rPr>
                <w:rFonts w:hAnsi="Calibri" w:eastAsia="宋体" w:cs="Calibri"/>
                <w:b/>
                <w:bCs/>
                <w:kern w:val="0"/>
                <w:sz w:val="24"/>
                <w:szCs w:val="24"/>
              </w:rPr>
              <w:t>　</w:t>
            </w:r>
          </w:p>
        </w:tc>
      </w:tr>
      <w:tr>
        <w:tblPrEx>
          <w:tblCellMar>
            <w:top w:w="0" w:type="dxa"/>
            <w:left w:w="108" w:type="dxa"/>
            <w:bottom w:w="0" w:type="dxa"/>
            <w:right w:w="108" w:type="dxa"/>
          </w:tblCellMar>
        </w:tblPrEx>
        <w:trPr>
          <w:trHeight w:val="585" w:hRule="atLeast"/>
        </w:trPr>
        <w:tc>
          <w:tcPr>
            <w:tcW w:w="15521" w:type="dxa"/>
            <w:gridSpan w:val="1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440"/>
        <w:gridCol w:w="3831"/>
        <w:gridCol w:w="2983"/>
        <w:gridCol w:w="2983"/>
        <w:gridCol w:w="2982"/>
      </w:tblGrid>
      <w:tr>
        <w:tblPrEx>
          <w:tblCellMar>
            <w:top w:w="0" w:type="dxa"/>
            <w:left w:w="108" w:type="dxa"/>
            <w:bottom w:w="0" w:type="dxa"/>
            <w:right w:w="108" w:type="dxa"/>
          </w:tblCellMar>
        </w:tblPrEx>
        <w:trPr>
          <w:trHeight w:val="405" w:hRule="atLeast"/>
          <w:jc w:val="center"/>
        </w:trPr>
        <w:tc>
          <w:tcPr>
            <w:tcW w:w="511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10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9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3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91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3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3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3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91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3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3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3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11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3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11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合计</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b/>
                <w:bCs/>
                <w:kern w:val="0"/>
                <w:sz w:val="24"/>
                <w:szCs w:val="24"/>
              </w:rPr>
            </w:pPr>
            <w:r>
              <w:rPr>
                <w:rFonts w:hint="eastAsia" w:hAnsi="Calibri" w:eastAsia="仿宋_GB2312" w:cs="Calibri"/>
                <w:b/>
                <w:bCs/>
                <w:kern w:val="0"/>
                <w:sz w:val="24"/>
                <w:szCs w:val="24"/>
              </w:rPr>
              <w:t>2408.88</w:t>
            </w:r>
            <w:r>
              <w:rPr>
                <w:rFonts w:hAnsi="Calibri" w:eastAsia="仿宋_GB2312" w:cs="Calibri"/>
                <w:b/>
                <w:bCs/>
                <w:kern w:val="0"/>
                <w:sz w:val="24"/>
                <w:szCs w:val="24"/>
              </w:rPr>
              <w:t>　</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b/>
                <w:bCs/>
                <w:kern w:val="0"/>
                <w:sz w:val="24"/>
                <w:szCs w:val="24"/>
              </w:rPr>
            </w:pPr>
            <w:r>
              <w:rPr>
                <w:rFonts w:hint="eastAsia" w:hAnsi="Calibri" w:eastAsia="仿宋_GB2312" w:cs="Calibri"/>
                <w:b/>
                <w:bCs/>
                <w:kern w:val="0"/>
                <w:sz w:val="24"/>
                <w:szCs w:val="24"/>
              </w:rPr>
              <w:t>2243.08</w:t>
            </w:r>
            <w:r>
              <w:rPr>
                <w:rFonts w:hAnsi="Calibri" w:eastAsia="仿宋_GB2312" w:cs="Calibri"/>
                <w:b/>
                <w:bCs/>
                <w:kern w:val="0"/>
                <w:sz w:val="24"/>
                <w:szCs w:val="24"/>
              </w:rPr>
              <w:t>　</w:t>
            </w:r>
          </w:p>
        </w:tc>
        <w:tc>
          <w:tcPr>
            <w:tcW w:w="3036" w:type="dxa"/>
            <w:tcBorders>
              <w:top w:val="nil"/>
              <w:left w:val="nil"/>
              <w:bottom w:val="single" w:color="auto" w:sz="4" w:space="0"/>
              <w:right w:val="single" w:color="auto" w:sz="8" w:space="0"/>
            </w:tcBorders>
            <w:shd w:val="clear" w:color="auto" w:fill="auto"/>
            <w:vAlign w:val="center"/>
          </w:tcPr>
          <w:p>
            <w:pPr>
              <w:widowControl/>
              <w:jc w:val="right"/>
              <w:rPr>
                <w:rFonts w:hAnsi="Calibri" w:eastAsia="仿宋_GB2312" w:cs="Calibri"/>
                <w:b/>
                <w:bCs/>
                <w:kern w:val="0"/>
                <w:sz w:val="24"/>
                <w:szCs w:val="24"/>
              </w:rPr>
            </w:pPr>
            <w:r>
              <w:rPr>
                <w:rFonts w:hint="eastAsia" w:hAnsi="Calibri" w:eastAsia="仿宋_GB2312" w:cs="Calibri"/>
                <w:b/>
                <w:bCs/>
                <w:kern w:val="0"/>
                <w:sz w:val="24"/>
                <w:szCs w:val="24"/>
              </w:rPr>
              <w:t>165.80</w:t>
            </w:r>
            <w:r>
              <w:rPr>
                <w:rFonts w:hAnsi="Calibri" w:eastAsia="仿宋_GB2312" w:cs="Calibri"/>
                <w:b/>
                <w:bCs/>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205</w:t>
            </w:r>
          </w:p>
        </w:tc>
        <w:tc>
          <w:tcPr>
            <w:tcW w:w="3915" w:type="dxa"/>
            <w:tcBorders>
              <w:top w:val="nil"/>
              <w:left w:val="nil"/>
              <w:bottom w:val="single" w:color="auto" w:sz="4" w:space="0"/>
              <w:right w:val="single" w:color="auto" w:sz="4" w:space="0"/>
            </w:tcBorders>
            <w:shd w:val="clear" w:color="auto" w:fill="auto"/>
            <w:vAlign w:val="center"/>
          </w:tcPr>
          <w:p>
            <w:r>
              <w:rPr>
                <w:rFonts w:hint="eastAsia"/>
              </w:rPr>
              <w:t>教育支出</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1905.83</w:t>
            </w:r>
            <w:r>
              <w:rPr>
                <w:rFonts w:hAnsi="Calibri" w:eastAsia="仿宋_GB2312" w:cs="Calibri"/>
                <w:kern w:val="0"/>
                <w:sz w:val="24"/>
                <w:szCs w:val="24"/>
              </w:rPr>
              <w:t>　</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1766.73</w:t>
            </w:r>
            <w:r>
              <w:rPr>
                <w:rFonts w:hAnsi="Calibri" w:eastAsia="仿宋_GB2312" w:cs="Calibri"/>
                <w:kern w:val="0"/>
                <w:sz w:val="24"/>
                <w:szCs w:val="24"/>
              </w:rPr>
              <w:t>　</w:t>
            </w:r>
          </w:p>
        </w:tc>
        <w:tc>
          <w:tcPr>
            <w:tcW w:w="3036" w:type="dxa"/>
            <w:tcBorders>
              <w:top w:val="nil"/>
              <w:left w:val="nil"/>
              <w:bottom w:val="single" w:color="auto" w:sz="4"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139.10</w:t>
            </w:r>
            <w:r>
              <w:rPr>
                <w:rFonts w:hAnsi="Calibri" w:eastAsia="仿宋_GB2312" w:cs="Calibri"/>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20502</w:t>
            </w:r>
          </w:p>
        </w:tc>
        <w:tc>
          <w:tcPr>
            <w:tcW w:w="3915" w:type="dxa"/>
            <w:tcBorders>
              <w:top w:val="nil"/>
              <w:left w:val="nil"/>
              <w:bottom w:val="single" w:color="auto" w:sz="4" w:space="0"/>
              <w:right w:val="single" w:color="auto" w:sz="4" w:space="0"/>
            </w:tcBorders>
            <w:shd w:val="clear" w:color="auto" w:fill="auto"/>
            <w:vAlign w:val="center"/>
          </w:tcPr>
          <w:p>
            <w:r>
              <w:rPr>
                <w:rFonts w:hint="eastAsia"/>
              </w:rPr>
              <w:t>普通教育</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1007.56</w:t>
            </w:r>
            <w:r>
              <w:rPr>
                <w:rFonts w:hAnsi="Calibri" w:eastAsia="仿宋_GB2312" w:cs="Calibri"/>
                <w:kern w:val="0"/>
                <w:sz w:val="24"/>
                <w:szCs w:val="24"/>
              </w:rPr>
              <w:t>　</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1007.56</w:t>
            </w:r>
            <w:r>
              <w:rPr>
                <w:rFonts w:hAnsi="Calibri" w:eastAsia="仿宋_GB2312" w:cs="Calibri"/>
                <w:kern w:val="0"/>
                <w:sz w:val="24"/>
                <w:szCs w:val="24"/>
              </w:rPr>
              <w:t>　</w:t>
            </w:r>
          </w:p>
        </w:tc>
        <w:tc>
          <w:tcPr>
            <w:tcW w:w="3036" w:type="dxa"/>
            <w:tcBorders>
              <w:top w:val="nil"/>
              <w:left w:val="nil"/>
              <w:bottom w:val="single" w:color="auto" w:sz="4"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0.00</w:t>
            </w:r>
            <w:r>
              <w:rPr>
                <w:rFonts w:hAnsi="Calibri" w:eastAsia="仿宋_GB2312" w:cs="Calibri"/>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cs="宋体"/>
                <w:sz w:val="24"/>
                <w:szCs w:val="24"/>
              </w:rPr>
            </w:pPr>
            <w:r>
              <w:rPr>
                <w:rFonts w:hint="eastAsia"/>
              </w:rPr>
              <w:t>2050204</w:t>
            </w:r>
          </w:p>
        </w:tc>
        <w:tc>
          <w:tcPr>
            <w:tcW w:w="3915" w:type="dxa"/>
            <w:tcBorders>
              <w:top w:val="nil"/>
              <w:left w:val="nil"/>
              <w:bottom w:val="single" w:color="auto" w:sz="4" w:space="0"/>
              <w:right w:val="single" w:color="auto" w:sz="4" w:space="0"/>
            </w:tcBorders>
            <w:shd w:val="clear" w:color="auto" w:fill="auto"/>
            <w:vAlign w:val="center"/>
          </w:tcPr>
          <w:p>
            <w:pPr>
              <w:ind w:firstLine="210" w:firstLineChars="100"/>
              <w:rPr>
                <w:rFonts w:ascii="宋体" w:hAnsi="宋体" w:eastAsia="宋体" w:cs="宋体"/>
                <w:sz w:val="24"/>
                <w:szCs w:val="24"/>
              </w:rPr>
            </w:pPr>
            <w:r>
              <w:rPr>
                <w:rFonts w:hint="eastAsia"/>
              </w:rPr>
              <w:t>高中教育　</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1005.56</w:t>
            </w:r>
            <w:r>
              <w:rPr>
                <w:rFonts w:hAnsi="Calibri" w:eastAsia="仿宋_GB2312" w:cs="Calibri"/>
                <w:kern w:val="0"/>
                <w:sz w:val="24"/>
                <w:szCs w:val="24"/>
              </w:rPr>
              <w:t>　</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1005.56</w:t>
            </w:r>
            <w:r>
              <w:rPr>
                <w:rFonts w:hAnsi="Calibri" w:eastAsia="仿宋_GB2312" w:cs="Calibri"/>
                <w:kern w:val="0"/>
                <w:sz w:val="24"/>
                <w:szCs w:val="24"/>
              </w:rPr>
              <w:t>　</w:t>
            </w:r>
          </w:p>
        </w:tc>
        <w:tc>
          <w:tcPr>
            <w:tcW w:w="3036" w:type="dxa"/>
            <w:tcBorders>
              <w:top w:val="nil"/>
              <w:left w:val="nil"/>
              <w:bottom w:val="single" w:color="auto" w:sz="4"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0.00</w:t>
            </w:r>
            <w:r>
              <w:rPr>
                <w:rFonts w:hAnsi="Calibri" w:eastAsia="仿宋_GB2312" w:cs="Calibri"/>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2050299</w:t>
            </w:r>
          </w:p>
        </w:tc>
        <w:tc>
          <w:tcPr>
            <w:tcW w:w="3915"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其他普通教育支出</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2.00</w:t>
            </w:r>
            <w:r>
              <w:rPr>
                <w:rFonts w:hAnsi="Calibri" w:eastAsia="仿宋_GB2312" w:cs="Calibri"/>
                <w:kern w:val="0"/>
                <w:sz w:val="24"/>
                <w:szCs w:val="24"/>
              </w:rPr>
              <w:t>　</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2.00</w:t>
            </w:r>
            <w:r>
              <w:rPr>
                <w:rFonts w:hAnsi="Calibri" w:eastAsia="仿宋_GB2312" w:cs="Calibri"/>
                <w:kern w:val="0"/>
                <w:sz w:val="24"/>
                <w:szCs w:val="24"/>
              </w:rPr>
              <w:t>　</w:t>
            </w:r>
          </w:p>
        </w:tc>
        <w:tc>
          <w:tcPr>
            <w:tcW w:w="3036" w:type="dxa"/>
            <w:tcBorders>
              <w:top w:val="nil"/>
              <w:left w:val="nil"/>
              <w:bottom w:val="single" w:color="auto" w:sz="4"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0.00</w:t>
            </w:r>
            <w:r>
              <w:rPr>
                <w:rFonts w:hAnsi="Calibri" w:eastAsia="仿宋_GB2312" w:cs="Calibri"/>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20509　</w:t>
            </w:r>
          </w:p>
        </w:tc>
        <w:tc>
          <w:tcPr>
            <w:tcW w:w="3915"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教育费附加安排的支出　</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898.27</w:t>
            </w:r>
            <w:r>
              <w:rPr>
                <w:rFonts w:hAnsi="Calibri" w:eastAsia="仿宋_GB2312" w:cs="Calibri"/>
                <w:kern w:val="0"/>
                <w:sz w:val="24"/>
                <w:szCs w:val="24"/>
              </w:rPr>
              <w:t>　</w:t>
            </w:r>
          </w:p>
        </w:tc>
        <w:tc>
          <w:tcPr>
            <w:tcW w:w="3034" w:type="dxa"/>
            <w:tcBorders>
              <w:top w:val="nil"/>
              <w:left w:val="nil"/>
              <w:bottom w:val="single" w:color="auto" w:sz="4"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759.17</w:t>
            </w:r>
            <w:r>
              <w:rPr>
                <w:rFonts w:hAnsi="Calibri" w:eastAsia="仿宋_GB2312" w:cs="Calibri"/>
                <w:kern w:val="0"/>
                <w:sz w:val="24"/>
                <w:szCs w:val="24"/>
              </w:rPr>
              <w:t>　</w:t>
            </w:r>
          </w:p>
        </w:tc>
        <w:tc>
          <w:tcPr>
            <w:tcW w:w="3036" w:type="dxa"/>
            <w:tcBorders>
              <w:top w:val="nil"/>
              <w:left w:val="nil"/>
              <w:bottom w:val="single" w:color="auto" w:sz="4"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139.10</w:t>
            </w:r>
            <w:r>
              <w:rPr>
                <w:rFonts w:hAnsi="Calibri" w:eastAsia="仿宋_GB2312" w:cs="Calibri"/>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left"/>
            </w:pPr>
            <w:r>
              <w:rPr>
                <w:rFonts w:hint="eastAsia"/>
              </w:rPr>
              <w:t>2050999</w:t>
            </w:r>
          </w:p>
        </w:tc>
        <w:tc>
          <w:tcPr>
            <w:tcW w:w="3915" w:type="dxa"/>
            <w:tcBorders>
              <w:top w:val="nil"/>
              <w:left w:val="nil"/>
              <w:bottom w:val="single" w:color="auto" w:sz="8" w:space="0"/>
              <w:right w:val="single" w:color="auto" w:sz="4" w:space="0"/>
            </w:tcBorders>
            <w:shd w:val="clear" w:color="auto" w:fill="auto"/>
            <w:vAlign w:val="center"/>
          </w:tcPr>
          <w:p>
            <w:r>
              <w:rPr>
                <w:rFonts w:hint="eastAsia"/>
              </w:rPr>
              <w:t xml:space="preserve">  其他教育费附加安排的支出</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898.27</w:t>
            </w:r>
            <w:r>
              <w:rPr>
                <w:rFonts w:hAnsi="Calibri" w:eastAsia="仿宋_GB2312" w:cs="Calibri"/>
                <w:kern w:val="0"/>
                <w:sz w:val="24"/>
                <w:szCs w:val="24"/>
              </w:rPr>
              <w:t>　</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759.17</w:t>
            </w:r>
            <w:r>
              <w:rPr>
                <w:rFonts w:hAnsi="Calibri" w:eastAsia="仿宋_GB2312" w:cs="Calibri"/>
                <w:kern w:val="0"/>
                <w:sz w:val="24"/>
                <w:szCs w:val="24"/>
              </w:rPr>
              <w:t>　</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139.10</w:t>
            </w:r>
            <w:r>
              <w:rPr>
                <w:rFonts w:hAnsi="Calibri" w:eastAsia="仿宋_GB2312" w:cs="Calibri"/>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left"/>
            </w:pPr>
            <w:r>
              <w:rPr>
                <w:rFonts w:hint="eastAsia"/>
              </w:rPr>
              <w:t>208</w:t>
            </w:r>
          </w:p>
        </w:tc>
        <w:tc>
          <w:tcPr>
            <w:tcW w:w="3915" w:type="dxa"/>
            <w:tcBorders>
              <w:top w:val="nil"/>
              <w:left w:val="nil"/>
              <w:bottom w:val="single" w:color="auto" w:sz="8" w:space="0"/>
              <w:right w:val="single" w:color="auto" w:sz="4" w:space="0"/>
            </w:tcBorders>
            <w:shd w:val="clear" w:color="auto" w:fill="auto"/>
            <w:vAlign w:val="center"/>
          </w:tcPr>
          <w:p>
            <w:r>
              <w:rPr>
                <w:rFonts w:hint="eastAsia"/>
              </w:rPr>
              <w:t>社会保障和就业支出</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234.12</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207.42</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26.70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cs="宋体"/>
                <w:sz w:val="24"/>
                <w:szCs w:val="24"/>
              </w:rPr>
            </w:pPr>
            <w:r>
              <w:rPr>
                <w:rFonts w:hint="eastAsia"/>
              </w:rPr>
              <w:t>20805</w:t>
            </w:r>
          </w:p>
        </w:tc>
        <w:tc>
          <w:tcPr>
            <w:tcW w:w="3915" w:type="dxa"/>
            <w:tcBorders>
              <w:top w:val="nil"/>
              <w:left w:val="nil"/>
              <w:bottom w:val="single" w:color="auto" w:sz="8" w:space="0"/>
              <w:right w:val="single" w:color="auto" w:sz="4" w:space="0"/>
            </w:tcBorders>
            <w:shd w:val="clear" w:color="auto" w:fill="auto"/>
            <w:vAlign w:val="center"/>
          </w:tcPr>
          <w:p>
            <w:r>
              <w:rPr>
                <w:rFonts w:hint="eastAsia"/>
              </w:rPr>
              <w:t>行政事业单位养老支出</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207.42</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207.42</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sz w:val="24"/>
                <w:szCs w:val="24"/>
              </w:rPr>
            </w:pPr>
            <w:r>
              <w:rPr>
                <w:rFonts w:hint="eastAsia"/>
              </w:rPr>
              <w:t>2080502　</w:t>
            </w:r>
          </w:p>
        </w:tc>
        <w:tc>
          <w:tcPr>
            <w:tcW w:w="3915" w:type="dxa"/>
            <w:tcBorders>
              <w:top w:val="nil"/>
              <w:left w:val="nil"/>
              <w:bottom w:val="single" w:color="auto" w:sz="8" w:space="0"/>
              <w:right w:val="single" w:color="auto" w:sz="4" w:space="0"/>
            </w:tcBorders>
            <w:shd w:val="clear" w:color="auto" w:fill="auto"/>
            <w:vAlign w:val="center"/>
          </w:tcPr>
          <w:p>
            <w:r>
              <w:rPr>
                <w:rFonts w:hint="eastAsia"/>
              </w:rPr>
              <w:t xml:space="preserve">  事业单位离退休</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22.95</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22.95</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0.002080505</w:t>
            </w:r>
          </w:p>
        </w:tc>
        <w:tc>
          <w:tcPr>
            <w:tcW w:w="3915" w:type="dxa"/>
            <w:tcBorders>
              <w:top w:val="nil"/>
              <w:left w:val="nil"/>
              <w:bottom w:val="single" w:color="auto" w:sz="8" w:space="0"/>
              <w:right w:val="single" w:color="auto" w:sz="4" w:space="0"/>
            </w:tcBorders>
            <w:shd w:val="clear" w:color="auto" w:fill="auto"/>
            <w:vAlign w:val="center"/>
          </w:tcPr>
          <w:p>
            <w:pPr>
              <w:rPr>
                <w:rFonts w:ascii="宋体" w:hAnsi="宋体" w:cs="宋体"/>
                <w:sz w:val="24"/>
                <w:szCs w:val="24"/>
              </w:rPr>
            </w:pPr>
            <w:r>
              <w:rPr>
                <w:rFonts w:hint="eastAsia"/>
              </w:rPr>
              <w:t>　机关事业单位基本养老保险缴费支出</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184.47</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184.47</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20826.7008</w:t>
            </w:r>
          </w:p>
        </w:tc>
        <w:tc>
          <w:tcPr>
            <w:tcW w:w="3915" w:type="dxa"/>
            <w:tcBorders>
              <w:top w:val="nil"/>
              <w:left w:val="nil"/>
              <w:bottom w:val="single" w:color="auto" w:sz="8" w:space="0"/>
              <w:right w:val="single" w:color="auto" w:sz="4" w:space="0"/>
            </w:tcBorders>
            <w:shd w:val="clear" w:color="auto" w:fill="auto"/>
            <w:vAlign w:val="center"/>
          </w:tcPr>
          <w:p>
            <w:r>
              <w:rPr>
                <w:rFonts w:hint="eastAsia"/>
              </w:rPr>
              <w:t>抚恤</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26.70</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0.00</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26.70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208089926.70</w:t>
            </w:r>
          </w:p>
        </w:tc>
        <w:tc>
          <w:tcPr>
            <w:tcW w:w="3915" w:type="dxa"/>
            <w:tcBorders>
              <w:top w:val="nil"/>
              <w:left w:val="nil"/>
              <w:bottom w:val="single" w:color="auto" w:sz="8" w:space="0"/>
              <w:right w:val="single" w:color="auto" w:sz="4" w:space="0"/>
            </w:tcBorders>
            <w:shd w:val="clear" w:color="auto" w:fill="auto"/>
            <w:vAlign w:val="center"/>
          </w:tcPr>
          <w:p>
            <w:r>
              <w:rPr>
                <w:rFonts w:hint="eastAsia"/>
              </w:rPr>
              <w:t xml:space="preserve">  其他优抚支出</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26.70</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0.00</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Calibri" w:eastAsia="仿宋_GB2312" w:cs="Calibri"/>
                <w:kern w:val="0"/>
                <w:sz w:val="24"/>
                <w:szCs w:val="24"/>
              </w:rPr>
            </w:pPr>
            <w:r>
              <w:rPr>
                <w:rFonts w:hint="eastAsia" w:hAnsi="Calibri" w:eastAsia="仿宋_GB2312" w:cs="Calibri"/>
                <w:kern w:val="0"/>
                <w:sz w:val="24"/>
                <w:szCs w:val="24"/>
              </w:rPr>
              <w:t>26.70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210</w:t>
            </w:r>
          </w:p>
        </w:tc>
        <w:tc>
          <w:tcPr>
            <w:tcW w:w="3915" w:type="dxa"/>
            <w:tcBorders>
              <w:top w:val="nil"/>
              <w:left w:val="nil"/>
              <w:bottom w:val="single" w:color="auto" w:sz="8" w:space="0"/>
              <w:right w:val="single" w:color="auto" w:sz="4" w:space="0"/>
            </w:tcBorders>
            <w:shd w:val="clear" w:color="auto" w:fill="auto"/>
            <w:vAlign w:val="center"/>
          </w:tcPr>
          <w:p>
            <w:r>
              <w:rPr>
                <w:rFonts w:hint="eastAsia"/>
              </w:rPr>
              <w:t>卫生健康支出</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130.58</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130.58</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21011</w:t>
            </w:r>
          </w:p>
        </w:tc>
        <w:tc>
          <w:tcPr>
            <w:tcW w:w="3915" w:type="dxa"/>
            <w:tcBorders>
              <w:top w:val="nil"/>
              <w:left w:val="nil"/>
              <w:bottom w:val="single" w:color="auto" w:sz="8" w:space="0"/>
              <w:right w:val="single" w:color="auto" w:sz="4" w:space="0"/>
            </w:tcBorders>
            <w:shd w:val="clear" w:color="auto" w:fill="auto"/>
            <w:vAlign w:val="center"/>
          </w:tcPr>
          <w:p>
            <w:r>
              <w:rPr>
                <w:rFonts w:hint="eastAsia"/>
              </w:rPr>
              <w:t>行政事业单位医疗</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130.58</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130.58</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2101102</w:t>
            </w:r>
          </w:p>
        </w:tc>
        <w:tc>
          <w:tcPr>
            <w:tcW w:w="3915" w:type="dxa"/>
            <w:tcBorders>
              <w:top w:val="nil"/>
              <w:left w:val="nil"/>
              <w:bottom w:val="single" w:color="auto" w:sz="8" w:space="0"/>
              <w:right w:val="single" w:color="auto" w:sz="4" w:space="0"/>
            </w:tcBorders>
            <w:shd w:val="clear" w:color="auto" w:fill="auto"/>
            <w:vAlign w:val="center"/>
          </w:tcPr>
          <w:p>
            <w:r>
              <w:rPr>
                <w:rFonts w:hint="eastAsia"/>
              </w:rPr>
              <w:t xml:space="preserve">   事业单位医疗 </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130.58</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130.58</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221</w:t>
            </w:r>
          </w:p>
        </w:tc>
        <w:tc>
          <w:tcPr>
            <w:tcW w:w="3915" w:type="dxa"/>
            <w:tcBorders>
              <w:top w:val="nil"/>
              <w:left w:val="nil"/>
              <w:bottom w:val="single" w:color="auto" w:sz="8" w:space="0"/>
              <w:right w:val="single" w:color="auto" w:sz="4" w:space="0"/>
            </w:tcBorders>
            <w:shd w:val="clear" w:color="auto" w:fill="auto"/>
            <w:vAlign w:val="center"/>
          </w:tcPr>
          <w:p>
            <w:r>
              <w:rPr>
                <w:rFonts w:hint="eastAsia"/>
              </w:rPr>
              <w:t>住房保障支出</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138.35</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138.35</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22102</w:t>
            </w:r>
          </w:p>
        </w:tc>
        <w:tc>
          <w:tcPr>
            <w:tcW w:w="3915" w:type="dxa"/>
            <w:tcBorders>
              <w:top w:val="nil"/>
              <w:left w:val="nil"/>
              <w:bottom w:val="single" w:color="auto" w:sz="8" w:space="0"/>
              <w:right w:val="single" w:color="auto" w:sz="4" w:space="0"/>
            </w:tcBorders>
            <w:shd w:val="clear" w:color="auto" w:fill="auto"/>
            <w:vAlign w:val="center"/>
          </w:tcPr>
          <w:p>
            <w:r>
              <w:rPr>
                <w:rFonts w:hint="eastAsia"/>
              </w:rPr>
              <w:t>住房改革支出</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138.35</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138.35</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sz w:val="24"/>
                <w:szCs w:val="24"/>
              </w:rPr>
            </w:pPr>
            <w:r>
              <w:rPr>
                <w:rFonts w:hint="eastAsia"/>
              </w:rPr>
              <w:t>2210201　</w:t>
            </w:r>
          </w:p>
        </w:tc>
        <w:tc>
          <w:tcPr>
            <w:tcW w:w="3915" w:type="dxa"/>
            <w:tcBorders>
              <w:top w:val="nil"/>
              <w:left w:val="nil"/>
              <w:bottom w:val="single" w:color="auto" w:sz="8" w:space="0"/>
              <w:right w:val="single" w:color="auto" w:sz="4" w:space="0"/>
            </w:tcBorders>
            <w:shd w:val="clear" w:color="auto" w:fill="auto"/>
            <w:vAlign w:val="center"/>
          </w:tcPr>
          <w:p>
            <w:pPr>
              <w:rPr>
                <w:rFonts w:ascii="宋体" w:hAnsi="宋体" w:cs="宋体"/>
                <w:sz w:val="24"/>
                <w:szCs w:val="24"/>
              </w:rPr>
            </w:pPr>
            <w:r>
              <w:rPr>
                <w:rFonts w:hint="eastAsia"/>
              </w:rPr>
              <w:t>　住房公积金</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138.35</w:t>
            </w:r>
          </w:p>
        </w:tc>
        <w:tc>
          <w:tcPr>
            <w:tcW w:w="3034" w:type="dxa"/>
            <w:tcBorders>
              <w:top w:val="nil"/>
              <w:left w:val="nil"/>
              <w:bottom w:val="single" w:color="auto" w:sz="8" w:space="0"/>
              <w:right w:val="single" w:color="auto" w:sz="4"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138.35</w:t>
            </w:r>
          </w:p>
        </w:tc>
        <w:tc>
          <w:tcPr>
            <w:tcW w:w="3036" w:type="dxa"/>
            <w:tcBorders>
              <w:top w:val="nil"/>
              <w:left w:val="nil"/>
              <w:bottom w:val="single" w:color="auto" w:sz="8" w:space="0"/>
              <w:right w:val="single" w:color="auto" w:sz="8" w:space="0"/>
            </w:tcBorders>
            <w:shd w:val="clear" w:color="auto" w:fill="auto"/>
            <w:vAlign w:val="center"/>
          </w:tcPr>
          <w:p>
            <w:pPr>
              <w:widowControl/>
              <w:jc w:val="right"/>
              <w:rPr>
                <w:rFonts w:hAnsi="Times New Roman" w:eastAsia="仿宋_GB2312" w:cs="Times New Roman"/>
                <w:kern w:val="0"/>
                <w:sz w:val="24"/>
                <w:szCs w:val="24"/>
              </w:rPr>
            </w:pPr>
            <w:r>
              <w:rPr>
                <w:rFonts w:hint="eastAsia" w:hAnsi="Times New Roman" w:eastAsia="仿宋_GB2312" w:cs="Times New Roman"/>
                <w:kern w:val="0"/>
                <w:sz w:val="24"/>
                <w:szCs w:val="24"/>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23830" w:type="dxa"/>
        <w:tblInd w:w="0" w:type="dxa"/>
        <w:tblLayout w:type="fixed"/>
        <w:tblCellMar>
          <w:top w:w="0" w:type="dxa"/>
          <w:left w:w="108" w:type="dxa"/>
          <w:bottom w:w="0" w:type="dxa"/>
          <w:right w:w="108" w:type="dxa"/>
        </w:tblCellMar>
      </w:tblPr>
      <w:tblGrid>
        <w:gridCol w:w="757"/>
        <w:gridCol w:w="3420"/>
        <w:gridCol w:w="1174"/>
        <w:gridCol w:w="776"/>
        <w:gridCol w:w="2370"/>
        <w:gridCol w:w="1040"/>
        <w:gridCol w:w="790"/>
        <w:gridCol w:w="4260"/>
        <w:gridCol w:w="1027"/>
        <w:gridCol w:w="1027"/>
        <w:gridCol w:w="1027"/>
        <w:gridCol w:w="1027"/>
        <w:gridCol w:w="1027"/>
        <w:gridCol w:w="1027"/>
        <w:gridCol w:w="1027"/>
        <w:gridCol w:w="1027"/>
        <w:gridCol w:w="1027"/>
      </w:tblGrid>
      <w:tr>
        <w:tblPrEx>
          <w:tblCellMar>
            <w:top w:w="0" w:type="dxa"/>
            <w:left w:w="108" w:type="dxa"/>
            <w:bottom w:w="0" w:type="dxa"/>
            <w:right w:w="108" w:type="dxa"/>
          </w:tblCellMar>
        </w:tblPrEx>
        <w:trPr>
          <w:gridAfter w:val="8"/>
          <w:wAfter w:w="8216" w:type="dxa"/>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gridAfter w:val="8"/>
          <w:wAfter w:w="8216" w:type="dxa"/>
          <w:trHeight w:val="113"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2078.55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53.61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752.53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1.02</w:t>
            </w:r>
          </w:p>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5.29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4.24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422.94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0.80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433.81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3.52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184.47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1.99</w:t>
            </w:r>
          </w:p>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130.58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0.90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10.59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138.35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1.49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110.92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22.95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0.18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3.50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87.97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4.19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28.69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0.74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8"/>
          <w:wAfter w:w="8216" w:type="dxa"/>
          <w:trHeight w:val="284" w:hRule="exac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2.34　</w:t>
            </w:r>
          </w:p>
        </w:tc>
        <w:tc>
          <w:tcPr>
            <w:tcW w:w="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gridAfter w:val="3"/>
          <w:wAfter w:w="3081" w:type="dxa"/>
          <w:trHeight w:val="284" w:hRule="exact"/>
        </w:trPr>
        <w:tc>
          <w:tcPr>
            <w:tcW w:w="41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2189.47</w:t>
            </w:r>
          </w:p>
        </w:tc>
        <w:tc>
          <w:tcPr>
            <w:tcW w:w="923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rPr>
              <w:t>53.61　</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c>
          <w:tcPr>
            <w:tcW w:w="102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p>
        </w:tc>
        <w:tc>
          <w:tcPr>
            <w:tcW w:w="102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p>
        </w:tc>
        <w:tc>
          <w:tcPr>
            <w:tcW w:w="102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p>
        </w:tc>
        <w:tc>
          <w:tcPr>
            <w:tcW w:w="102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p>
        </w:tc>
        <w:tc>
          <w:tcPr>
            <w:tcW w:w="102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p>
        </w:tc>
        <w:tc>
          <w:tcPr>
            <w:tcW w:w="102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p>
        </w:tc>
        <w:tc>
          <w:tcPr>
            <w:tcW w:w="102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p>
        </w:tc>
        <w:tc>
          <w:tcPr>
            <w:tcW w:w="1027"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5614" w:type="dxa"/>
            <w:gridSpan w:val="9"/>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5614" w:type="dxa"/>
            <w:gridSpan w:val="9"/>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left"/>
              <w:rPr>
                <w:rFonts w:ascii="宋体" w:hAnsi="宋体" w:eastAsia="宋体" w:cs="宋体"/>
                <w:color w:val="000000"/>
                <w:kern w:val="0"/>
                <w:szCs w:val="24"/>
              </w:rPr>
            </w:pPr>
          </w:p>
        </w:tc>
        <w:tc>
          <w:tcPr>
            <w:tcW w:w="1027" w:type="dxa"/>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市十三中没有政府性基金收入，也没有使用政府性基金安排的支出，故本表无数据。</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r>
              <w:rPr>
                <w:rFonts w:hint="eastAsia" w:ascii="Times New Roman" w:hAnsi="Times New Roman" w:eastAsia="仿宋_GB2312" w:cs="Times New Roman"/>
                <w:kern w:val="0"/>
                <w:szCs w:val="21"/>
              </w:rPr>
              <w:t>市十三中单位</w:t>
            </w:r>
            <w:r>
              <w:rPr>
                <w:rFonts w:ascii="Times New Roman" w:hAnsi="Times New Roman" w:eastAsia="仿宋_GB2312" w:cs="Times New Roman"/>
                <w:kern w:val="0"/>
                <w:szCs w:val="21"/>
              </w:rPr>
              <w:t>没有使用国有资本经营预算安排的支出，故本表无数据</w:t>
            </w:r>
            <w:r>
              <w:rPr>
                <w:rFonts w:hint="eastAsia" w:ascii="Times New Roman" w:hAnsi="Times New Roman" w:eastAsia="仿宋_GB2312" w:cs="Times New Roman"/>
                <w:kern w:val="0"/>
                <w:szCs w:val="21"/>
              </w:rPr>
              <w:t>。</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pStyle w:val="9"/>
        <w:jc w:val="center"/>
        <w:rPr>
          <w:sz w:val="70"/>
          <w:szCs w:val="70"/>
        </w:rPr>
      </w:pPr>
    </w:p>
    <w:p>
      <w:pPr>
        <w:widowControl/>
        <w:jc w:val="left"/>
        <w:rPr>
          <w:rFonts w:ascii="黑体" w:eastAsia="黑体" w:cs="黑体"/>
          <w:color w:val="000000"/>
          <w:kern w:val="0"/>
          <w:sz w:val="70"/>
          <w:szCs w:val="70"/>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2020年度收、支总计2736.95万元。与上年相比，减少14.61万元，减少0.53%，主要是因为生源减少导致事业收入减少。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本年收入合计2696.58万元，其中：财政拨款收入2393.58万元，占88.76%；事业收入303万元，占11.24%。</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本年支出合计2686.32万元，其中：基本支出2520.52万元，占93.83%；项目支出165.80万元，占6.17%。</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2020年度财政拨款收、支总计2420.33万元，与上年相比，增加64.47万元,增长2.74%，主要是因为一般公共财政拨款增加。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2020年度财政拨款支出2408.88万元，占本年支出合计的99.53%，与上年相比，财政拨款支出增加79.77万元，增长3.42%，主要是因为教育支出增加，尤其是人员经费增加。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2020年度财政拨款支出2408.88万元，主要用于以下方面：教育</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支出1905.83万元，占79.12%；社会保障和就业</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支出234.12万元，占9.72%；卫生健康</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支出130.58万元，占5.42%；住房保障</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支出138.35万元，占5.74%。</w:t>
      </w:r>
    </w:p>
    <w:p>
      <w:pPr>
        <w:pStyle w:val="9"/>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（三）财政拨款支出决算具体情况</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2056.25</w:t>
      </w:r>
      <w:r>
        <w:rPr>
          <w:rFonts w:hint="eastAsia" w:asciiTheme="minorEastAsia" w:hAnsiTheme="minorEastAsia" w:eastAsiaTheme="minorEastAsia"/>
          <w:sz w:val="32"/>
          <w:szCs w:val="32"/>
        </w:rPr>
        <w:t>万元，支出决算数为2408.88万元，完成年初预算的1</w:t>
      </w:r>
      <w:r>
        <w:rPr>
          <w:rFonts w:hint="eastAsia" w:asciiTheme="minorEastAsia" w:hAnsiTheme="minorEastAsia" w:eastAsiaTheme="minorEastAsia"/>
          <w:sz w:val="32"/>
          <w:szCs w:val="32"/>
          <w:lang w:val="en-US" w:eastAsia="zh-CN"/>
        </w:rPr>
        <w:t>17.1</w:t>
      </w:r>
      <w:r>
        <w:rPr>
          <w:rFonts w:hint="eastAsia" w:asciiTheme="minorEastAsia" w:hAnsiTheme="minorEastAsia" w:eastAsiaTheme="minorEastAsia"/>
          <w:sz w:val="32"/>
          <w:szCs w:val="32"/>
        </w:rPr>
        <w:t>4%，其中：</w:t>
      </w:r>
    </w:p>
    <w:p>
      <w:pPr>
        <w:pStyle w:val="9"/>
        <w:numPr>
          <w:numId w:val="0"/>
        </w:numPr>
        <w:rPr>
          <w:rFonts w:hint="eastAsia"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lang w:val="en-US" w:eastAsia="zh-CN"/>
        </w:rPr>
        <w:t>1、</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val="en-US" w:eastAsia="zh-CN"/>
        </w:rPr>
        <w:t>高</w:t>
      </w:r>
      <w:r>
        <w:rPr>
          <w:rFonts w:hint="eastAsia" w:asciiTheme="minorEastAsia" w:hAnsiTheme="minorEastAsia" w:eastAsiaTheme="minorEastAsia"/>
          <w:b/>
          <w:bCs/>
          <w:color w:val="000000" w:themeColor="text1"/>
          <w:sz w:val="32"/>
          <w:szCs w:val="32"/>
        </w:rPr>
        <w:t>中教育（项）</w:t>
      </w:r>
    </w:p>
    <w:p>
      <w:pPr>
        <w:pStyle w:val="9"/>
        <w:ind w:firstLine="800" w:firstLineChars="250"/>
        <w:rPr>
          <w:rFonts w:hint="default"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1573.9</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1007.56</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64.04</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小</w:t>
      </w:r>
      <w:r>
        <w:rPr>
          <w:rFonts w:hint="eastAsia" w:asciiTheme="minorEastAsia" w:hAnsiTheme="minorEastAsia" w:eastAsiaTheme="minorEastAsia"/>
          <w:color w:val="000000" w:themeColor="text1"/>
          <w:sz w:val="32"/>
          <w:szCs w:val="32"/>
          <w:lang w:eastAsia="zh-CN"/>
        </w:rPr>
        <w:t>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val="en-US" w:eastAsia="zh-CN"/>
        </w:rPr>
        <w:t>生源减少。</w:t>
      </w:r>
    </w:p>
    <w:p>
      <w:pPr>
        <w:pStyle w:val="9"/>
        <w:rPr>
          <w:rFonts w:hint="eastAsia" w:asciiTheme="minorEastAsia" w:hAnsiTheme="minorEastAsia" w:eastAsiaTheme="minorEastAsia"/>
          <w:b/>
          <w:bCs/>
          <w:color w:val="000000" w:themeColor="text1"/>
          <w:sz w:val="32"/>
          <w:szCs w:val="32"/>
          <w:lang w:val="en-US" w:eastAsia="zh-CN"/>
        </w:rPr>
      </w:pPr>
      <w:r>
        <w:rPr>
          <w:rFonts w:hint="eastAsia" w:asciiTheme="minorEastAsia" w:hAnsiTheme="minorEastAsia" w:eastAsiaTheme="minorEastAsia"/>
          <w:b/>
          <w:bCs/>
          <w:color w:val="000000" w:themeColor="text1"/>
          <w:sz w:val="32"/>
          <w:szCs w:val="32"/>
          <w:lang w:val="en-US" w:eastAsia="zh-CN"/>
        </w:rPr>
        <w:t>2、</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其他普通</w:t>
      </w:r>
      <w:r>
        <w:rPr>
          <w:rFonts w:hint="eastAsia" w:asciiTheme="minorEastAsia" w:hAnsiTheme="minorEastAsia" w:eastAsiaTheme="minorEastAsia"/>
          <w:b/>
          <w:bCs/>
          <w:color w:val="000000" w:themeColor="text1"/>
          <w:sz w:val="32"/>
          <w:szCs w:val="32"/>
        </w:rPr>
        <w:t>教育</w:t>
      </w:r>
      <w:r>
        <w:rPr>
          <w:rFonts w:hint="eastAsia" w:asciiTheme="minorEastAsia" w:hAnsiTheme="minorEastAsia" w:eastAsiaTheme="minorEastAsia"/>
          <w:b/>
          <w:bCs/>
          <w:color w:val="000000" w:themeColor="text1"/>
          <w:sz w:val="32"/>
          <w:szCs w:val="32"/>
          <w:lang w:eastAsia="zh-CN"/>
        </w:rPr>
        <w:t>支出</w:t>
      </w:r>
      <w:r>
        <w:rPr>
          <w:rFonts w:hint="eastAsia" w:asciiTheme="minorEastAsia" w:hAnsiTheme="minorEastAsia" w:eastAsiaTheme="minorEastAsia"/>
          <w:b/>
          <w:bCs/>
          <w:color w:val="000000" w:themeColor="text1"/>
          <w:sz w:val="32"/>
          <w:szCs w:val="32"/>
        </w:rPr>
        <w:t>（项）</w:t>
      </w:r>
    </w:p>
    <w:p>
      <w:pPr>
        <w:pStyle w:val="9"/>
        <w:numPr>
          <w:ilvl w:val="0"/>
          <w:numId w:val="0"/>
        </w:numPr>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年初预算</w:t>
      </w:r>
      <w:r>
        <w:rPr>
          <w:rFonts w:hint="eastAsia" w:asciiTheme="minorEastAsia" w:hAnsiTheme="minorEastAsia" w:eastAsiaTheme="minorEastAsia"/>
          <w:color w:val="000000" w:themeColor="text1"/>
          <w:sz w:val="32"/>
          <w:szCs w:val="32"/>
          <w:lang w:val="en-US" w:eastAsia="zh-CN"/>
        </w:rPr>
        <w:t xml:space="preserve"> 0</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 xml:space="preserve"> 2</w:t>
      </w:r>
      <w:r>
        <w:rPr>
          <w:rFonts w:hint="eastAsia" w:asciiTheme="minorEastAsia" w:hAnsiTheme="minorEastAsia" w:eastAsiaTheme="minorEastAsia"/>
          <w:color w:val="000000" w:themeColor="text1"/>
          <w:sz w:val="32"/>
          <w:szCs w:val="32"/>
        </w:rPr>
        <w:t>万元，决算数</w:t>
      </w:r>
      <w:r>
        <w:rPr>
          <w:rFonts w:hint="eastAsia" w:asciiTheme="minorEastAsia" w:hAnsiTheme="minorEastAsia" w:eastAsiaTheme="minorEastAsia"/>
          <w:color w:val="000000" w:themeColor="text1"/>
          <w:sz w:val="32"/>
          <w:szCs w:val="32"/>
          <w:lang w:eastAsia="zh-CN"/>
        </w:rPr>
        <w:t>大于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val="en-US" w:eastAsia="zh-CN"/>
        </w:rPr>
        <w:t>使用上年结余</w:t>
      </w:r>
      <w:r>
        <w:rPr>
          <w:rFonts w:hint="eastAsia" w:asciiTheme="minorEastAsia" w:hAnsiTheme="minorEastAsia" w:eastAsiaTheme="minorEastAsia"/>
          <w:color w:val="000000" w:themeColor="text1"/>
          <w:sz w:val="32"/>
          <w:szCs w:val="32"/>
          <w:lang w:eastAsia="zh-CN"/>
        </w:rPr>
        <w:t>。</w:t>
      </w:r>
    </w:p>
    <w:p>
      <w:pPr>
        <w:pStyle w:val="9"/>
        <w:numPr>
          <w:ilvl w:val="0"/>
          <w:numId w:val="0"/>
        </w:numPr>
        <w:rPr>
          <w:rFonts w:hint="eastAsia" w:ascii="宋体" w:hAnsi="宋体" w:eastAsia="宋体"/>
          <w:b/>
          <w:bCs/>
          <w:sz w:val="30"/>
          <w:szCs w:val="30"/>
        </w:rPr>
      </w:pPr>
      <w:r>
        <w:rPr>
          <w:rFonts w:hint="eastAsia" w:ascii="宋体" w:hAnsi="宋体" w:eastAsia="宋体"/>
          <w:b/>
          <w:bCs/>
          <w:sz w:val="30"/>
          <w:szCs w:val="30"/>
          <w:lang w:val="en-US" w:eastAsia="zh-CN"/>
        </w:rPr>
        <w:t>3、</w:t>
      </w:r>
      <w:r>
        <w:rPr>
          <w:rFonts w:hint="eastAsia" w:ascii="宋体" w:hAnsi="宋体" w:eastAsia="宋体"/>
          <w:b/>
          <w:bCs/>
          <w:sz w:val="30"/>
          <w:szCs w:val="30"/>
        </w:rPr>
        <w:t>教育支出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教育费附加安排的支出（款）其他教育费附加安排（项）</w:t>
      </w:r>
    </w:p>
    <w:p>
      <w:pPr>
        <w:pStyle w:val="9"/>
        <w:ind w:firstLine="750" w:firstLineChars="250"/>
        <w:rPr>
          <w:rFonts w:hint="eastAsia" w:ascii="宋体" w:hAnsi="宋体" w:eastAsia="宋体"/>
          <w:sz w:val="30"/>
          <w:szCs w:val="30"/>
          <w:lang w:val="en-US" w:eastAsia="zh-CN"/>
        </w:rPr>
      </w:pPr>
      <w:r>
        <w:rPr>
          <w:rFonts w:hint="eastAsia" w:ascii="宋体" w:hAnsi="宋体" w:eastAsia="宋体"/>
          <w:sz w:val="30"/>
          <w:szCs w:val="30"/>
        </w:rPr>
        <w:t>年初预算为</w:t>
      </w:r>
      <w:r>
        <w:rPr>
          <w:rFonts w:hint="eastAsia" w:ascii="宋体" w:hAnsi="宋体" w:eastAsia="宋体"/>
          <w:sz w:val="30"/>
          <w:szCs w:val="30"/>
          <w:lang w:val="en-US" w:eastAsia="zh-CN"/>
        </w:rPr>
        <w:t>6</w:t>
      </w:r>
      <w:r>
        <w:rPr>
          <w:rFonts w:hint="eastAsia" w:ascii="宋体" w:hAnsi="宋体" w:eastAsia="宋体"/>
          <w:sz w:val="30"/>
          <w:szCs w:val="30"/>
        </w:rPr>
        <w:t>万元，支出决算为</w:t>
      </w:r>
      <w:r>
        <w:rPr>
          <w:rFonts w:hint="eastAsia" w:ascii="宋体" w:hAnsi="宋体" w:eastAsia="宋体"/>
          <w:sz w:val="30"/>
          <w:szCs w:val="30"/>
          <w:lang w:val="en-US" w:eastAsia="zh-CN"/>
        </w:rPr>
        <w:t>898.27</w:t>
      </w:r>
      <w:r>
        <w:rPr>
          <w:rFonts w:hint="eastAsia" w:ascii="宋体" w:hAnsi="宋体" w:eastAsia="宋体"/>
          <w:sz w:val="30"/>
          <w:szCs w:val="30"/>
        </w:rPr>
        <w:t>万元，完成年初预算</w:t>
      </w:r>
      <w:r>
        <w:rPr>
          <w:rFonts w:hint="eastAsia" w:ascii="宋体" w:hAnsi="宋体" w:eastAsia="宋体"/>
          <w:sz w:val="30"/>
          <w:szCs w:val="30"/>
          <w:lang w:val="en-US" w:eastAsia="zh-CN"/>
        </w:rPr>
        <w:t>14971</w:t>
      </w:r>
      <w:r>
        <w:rPr>
          <w:rFonts w:hint="eastAsia" w:ascii="宋体" w:hAnsi="宋体" w:eastAsia="宋体"/>
          <w:sz w:val="30"/>
          <w:szCs w:val="30"/>
        </w:rPr>
        <w:t>%，</w:t>
      </w:r>
      <w:r>
        <w:rPr>
          <w:rFonts w:hint="eastAsia" w:ascii="宋体" w:hAnsi="宋体" w:eastAsia="宋体"/>
          <w:sz w:val="30"/>
          <w:szCs w:val="30"/>
          <w:lang w:val="en-US" w:eastAsia="zh-CN"/>
        </w:rPr>
        <w:t>决算数大于年初预算数的原因是：工资调标和财政追加安排绩效考评、平安建设奖励。</w:t>
      </w:r>
    </w:p>
    <w:p>
      <w:pPr>
        <w:pStyle w:val="9"/>
        <w:numPr>
          <w:ilvl w:val="0"/>
          <w:numId w:val="0"/>
        </w:numPr>
        <w:rPr>
          <w:rFonts w:ascii="宋体" w:hAnsi="宋体" w:eastAsia="宋体"/>
          <w:b/>
          <w:bCs/>
          <w:sz w:val="30"/>
          <w:szCs w:val="30"/>
        </w:rPr>
      </w:pPr>
      <w:r>
        <w:rPr>
          <w:rFonts w:hint="eastAsia" w:ascii="宋体" w:hAnsi="宋体" w:eastAsia="宋体"/>
          <w:b/>
          <w:bCs/>
          <w:sz w:val="30"/>
          <w:szCs w:val="30"/>
          <w:lang w:val="en-US" w:eastAsia="zh-CN"/>
        </w:rPr>
        <w:t>4、</w:t>
      </w: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行政事业单位养老支出（款）机关事业单</w:t>
      </w:r>
    </w:p>
    <w:p>
      <w:pPr>
        <w:pStyle w:val="9"/>
        <w:numPr>
          <w:ilvl w:val="0"/>
          <w:numId w:val="0"/>
        </w:numPr>
        <w:rPr>
          <w:rFonts w:ascii="宋体" w:hAnsi="宋体" w:eastAsia="宋体"/>
          <w:b/>
          <w:bCs/>
          <w:sz w:val="30"/>
          <w:szCs w:val="30"/>
        </w:rPr>
      </w:pPr>
      <w:r>
        <w:rPr>
          <w:rFonts w:hint="eastAsia" w:ascii="宋体" w:hAnsi="宋体" w:eastAsia="宋体"/>
          <w:b/>
          <w:bCs/>
          <w:sz w:val="30"/>
          <w:szCs w:val="30"/>
          <w:lang w:val="en-US" w:eastAsia="zh-CN"/>
        </w:rPr>
        <w:t>位基本养老保险缴费支出（项）</w:t>
      </w:r>
    </w:p>
    <w:p>
      <w:pPr>
        <w:pStyle w:val="9"/>
        <w:numPr>
          <w:ilvl w:val="0"/>
          <w:numId w:val="0"/>
        </w:numPr>
        <w:ind w:firstLine="600" w:firstLineChars="200"/>
        <w:rPr>
          <w:rFonts w:hint="eastAsia" w:asciiTheme="minorEastAsia" w:hAnsiTheme="minorEastAsia" w:eastAsiaTheme="minorEastAsia"/>
          <w:color w:val="000000" w:themeColor="text1"/>
          <w:sz w:val="32"/>
          <w:szCs w:val="32"/>
          <w:lang w:val="en-US" w:eastAsia="zh-CN"/>
        </w:rPr>
      </w:pPr>
      <w:r>
        <w:rPr>
          <w:rFonts w:hint="eastAsia" w:ascii="宋体" w:hAnsi="宋体" w:eastAsia="宋体"/>
          <w:sz w:val="30"/>
          <w:szCs w:val="30"/>
        </w:rPr>
        <w:t>年初预算为</w:t>
      </w:r>
      <w:r>
        <w:rPr>
          <w:rFonts w:hint="eastAsia" w:ascii="宋体" w:hAnsi="宋体" w:eastAsia="宋体"/>
          <w:sz w:val="30"/>
          <w:szCs w:val="30"/>
          <w:lang w:val="en-US" w:eastAsia="zh-CN"/>
        </w:rPr>
        <w:t>184.47</w:t>
      </w:r>
      <w:r>
        <w:rPr>
          <w:rFonts w:hint="eastAsia" w:ascii="宋体" w:hAnsi="宋体" w:eastAsia="宋体"/>
          <w:sz w:val="30"/>
          <w:szCs w:val="30"/>
        </w:rPr>
        <w:t>万元，支出决算为</w:t>
      </w:r>
      <w:r>
        <w:rPr>
          <w:rFonts w:hint="eastAsia" w:ascii="宋体" w:hAnsi="宋体" w:eastAsia="宋体"/>
          <w:sz w:val="30"/>
          <w:szCs w:val="30"/>
          <w:lang w:val="en-US" w:eastAsia="zh-CN"/>
        </w:rPr>
        <w:t>184.47</w:t>
      </w:r>
      <w:r>
        <w:rPr>
          <w:rFonts w:hint="eastAsia" w:ascii="宋体" w:hAnsi="宋体" w:eastAsia="宋体"/>
          <w:sz w:val="30"/>
          <w:szCs w:val="30"/>
        </w:rPr>
        <w:t>万元，完成年初预算的</w:t>
      </w:r>
      <w:r>
        <w:rPr>
          <w:rFonts w:hint="eastAsia" w:ascii="宋体" w:hAnsi="宋体" w:eastAsia="宋体"/>
          <w:sz w:val="30"/>
          <w:szCs w:val="30"/>
          <w:lang w:val="en-US" w:eastAsia="zh-CN"/>
        </w:rPr>
        <w:t>100</w:t>
      </w:r>
      <w:r>
        <w:rPr>
          <w:rFonts w:hint="eastAsia" w:ascii="宋体" w:hAnsi="宋体" w:eastAsia="宋体"/>
          <w:sz w:val="30"/>
          <w:szCs w:val="30"/>
        </w:rPr>
        <w:t>%</w:t>
      </w:r>
      <w:r>
        <w:rPr>
          <w:rFonts w:hint="eastAsia" w:ascii="宋体" w:hAnsi="宋体" w:eastAsia="宋体"/>
          <w:sz w:val="30"/>
          <w:szCs w:val="30"/>
          <w:lang w:eastAsia="zh-CN"/>
        </w:rPr>
        <w:t>。</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9"/>
        <w:numPr>
          <w:ilvl w:val="0"/>
          <w:numId w:val="0"/>
        </w:numPr>
        <w:rPr>
          <w:rFonts w:hint="default"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b/>
          <w:bCs/>
          <w:color w:val="000000" w:themeColor="text1"/>
          <w:sz w:val="32"/>
          <w:szCs w:val="32"/>
          <w:lang w:val="en-US" w:eastAsia="zh-CN"/>
        </w:rPr>
        <w:t>5、</w:t>
      </w:r>
      <w:r>
        <w:rPr>
          <w:rFonts w:hint="eastAsia" w:asciiTheme="minorEastAsia" w:hAnsiTheme="minorEastAsia" w:eastAsiaTheme="minorEastAsia"/>
          <w:b/>
          <w:bCs/>
          <w:color w:val="000000" w:themeColor="text1"/>
          <w:sz w:val="32"/>
          <w:szCs w:val="32"/>
          <w:lang w:val="en-US"/>
        </w:rPr>
        <w:t>社会保障和就业支出（类）行政事业单位养老支出（款）</w:t>
      </w:r>
      <w:r>
        <w:rPr>
          <w:rFonts w:hint="eastAsia" w:asciiTheme="minorEastAsia" w:hAnsiTheme="minorEastAsia" w:eastAsiaTheme="minorEastAsia"/>
          <w:b/>
          <w:bCs/>
          <w:color w:val="000000" w:themeColor="text1"/>
          <w:sz w:val="32"/>
          <w:szCs w:val="32"/>
          <w:lang w:val="en-US" w:eastAsia="zh-CN"/>
        </w:rPr>
        <w:t>事业单位离退休</w:t>
      </w:r>
      <w:r>
        <w:rPr>
          <w:rFonts w:hint="eastAsia" w:asciiTheme="minorEastAsia" w:hAnsiTheme="minorEastAsia" w:eastAsiaTheme="minorEastAsia"/>
          <w:b/>
          <w:bCs/>
          <w:color w:val="000000" w:themeColor="text1"/>
          <w:sz w:val="32"/>
          <w:szCs w:val="32"/>
          <w:lang w:val="en-US"/>
        </w:rPr>
        <w:t>（项）</w:t>
      </w:r>
    </w:p>
    <w:p>
      <w:pPr>
        <w:pStyle w:val="9"/>
        <w:numPr>
          <w:ilvl w:val="0"/>
          <w:numId w:val="0"/>
        </w:numPr>
        <w:ind w:firstLine="640" w:firstLineChars="200"/>
        <w:rPr>
          <w:rFonts w:hint="eastAsia"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22.95</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22.95</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9"/>
        <w:numPr>
          <w:ilvl w:val="0"/>
          <w:numId w:val="0"/>
        </w:numPr>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6、</w:t>
      </w: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抚恤（款）其他优抚支出（项）</w:t>
      </w:r>
    </w:p>
    <w:p>
      <w:pPr>
        <w:pStyle w:val="9"/>
        <w:ind w:firstLine="750" w:firstLineChars="250"/>
        <w:rPr>
          <w:rFonts w:hint="eastAsia" w:ascii="宋体" w:hAnsi="宋体" w:eastAsia="宋体"/>
          <w:sz w:val="30"/>
          <w:szCs w:val="30"/>
          <w:lang w:val="en-US" w:eastAsia="zh-CN"/>
        </w:rPr>
      </w:pPr>
      <w:r>
        <w:rPr>
          <w:rFonts w:hint="eastAsia" w:ascii="宋体" w:hAnsi="宋体" w:eastAsia="宋体"/>
          <w:sz w:val="30"/>
          <w:szCs w:val="30"/>
          <w:lang w:val="en-US" w:eastAsia="zh-CN"/>
        </w:rPr>
        <w:t>年初预算为0万元，支出决算为26.7万元，决算数大于年初预算数的主要原因是：财政追加安排本年退休职工抚恤金支出。</w:t>
      </w:r>
    </w:p>
    <w:p>
      <w:pPr>
        <w:pStyle w:val="9"/>
        <w:numPr>
          <w:ilvl w:val="0"/>
          <w:numId w:val="0"/>
        </w:numPr>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7、</w:t>
      </w:r>
      <w:r>
        <w:rPr>
          <w:rFonts w:hint="eastAsia" w:asciiTheme="minorEastAsia" w:hAnsiTheme="minorEastAsia" w:eastAsiaTheme="minorEastAsia"/>
          <w:b/>
          <w:bCs/>
          <w:color w:val="000000" w:themeColor="text1"/>
          <w:sz w:val="32"/>
          <w:szCs w:val="32"/>
          <w:lang w:val="en-US"/>
        </w:rPr>
        <w:t>卫生健康支出（类）行政事业单位医疗（款）事业单位医疗（项）</w:t>
      </w:r>
    </w:p>
    <w:p>
      <w:pPr>
        <w:pStyle w:val="9"/>
        <w:numPr>
          <w:ilvl w:val="0"/>
          <w:numId w:val="0"/>
        </w:numPr>
        <w:ind w:firstLine="640" w:firstLineChars="200"/>
        <w:rPr>
          <w:rFonts w:hint="default"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130.58</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130.58</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9"/>
        <w:numPr>
          <w:ilvl w:val="0"/>
          <w:numId w:val="0"/>
        </w:numP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8、</w:t>
      </w: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138.35</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138.35</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9"/>
        <w:ind w:firstLine="800" w:firstLineChars="250"/>
        <w:rPr>
          <w:rFonts w:hint="eastAsia" w:asciiTheme="minorEastAsia" w:hAnsiTheme="minorEastAsia" w:eastAsiaTheme="minorEastAsia"/>
          <w:sz w:val="32"/>
          <w:szCs w:val="32"/>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2020年度财政拨款基本支出2243.08万元，其中：人员经费2189.47万元，占基本支出的97.61%,主要包括基本工资、津贴补贴、奖金、伙食补助费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绩效工资等</w:t>
      </w:r>
      <w:r>
        <w:rPr>
          <w:rFonts w:hint="eastAsia" w:asciiTheme="minorEastAsia" w:hAnsiTheme="minorEastAsia" w:eastAsiaTheme="minorEastAsia"/>
          <w:sz w:val="32"/>
          <w:szCs w:val="32"/>
        </w:rPr>
        <w:t>；公用经费53.61万元，占基本支出的2.39%，主要包括办公费、印刷费、咨询费、手续费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水费、电费、维修（护）费、工会经费等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640" w:firstLineChars="200"/>
        <w:rPr>
          <w:rFonts w:ascii="宋体" w:hAnsi="宋体" w:eastAsia="宋体"/>
          <w:bCs/>
          <w:sz w:val="32"/>
          <w:szCs w:val="32"/>
        </w:rPr>
      </w:pPr>
      <w:r>
        <w:rPr>
          <w:rFonts w:hint="eastAsia" w:ascii="宋体" w:hAnsi="宋体" w:eastAsia="宋体"/>
          <w:bCs/>
          <w:sz w:val="32"/>
          <w:szCs w:val="32"/>
        </w:rPr>
        <w:t>“三公”经费财政拨款支出预算为</w:t>
      </w:r>
      <w:r>
        <w:rPr>
          <w:rFonts w:hint="eastAsia" w:ascii="宋体" w:hAnsi="宋体" w:eastAsia="宋体"/>
          <w:bCs/>
          <w:sz w:val="32"/>
          <w:szCs w:val="32"/>
          <w:lang w:val="en-US" w:eastAsia="zh-CN"/>
        </w:rPr>
        <w:t>3</w:t>
      </w:r>
      <w:r>
        <w:rPr>
          <w:rFonts w:hint="eastAsia" w:ascii="宋体" w:hAnsi="宋体" w:eastAsia="宋体"/>
          <w:bCs/>
          <w:sz w:val="32"/>
          <w:szCs w:val="32"/>
        </w:rPr>
        <w:t>万元，支出决算为0万元，完成预算的0%，其中：</w:t>
      </w:r>
    </w:p>
    <w:p>
      <w:pPr>
        <w:pStyle w:val="9"/>
        <w:ind w:firstLine="960" w:firstLineChars="300"/>
        <w:rPr>
          <w:rFonts w:ascii="宋体" w:hAnsi="宋体" w:eastAsia="宋体"/>
          <w:bCs/>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决算数与预算数一致为0的主要原因是单位无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9"/>
        <w:ind w:firstLine="960" w:firstLineChars="300"/>
        <w:rPr>
          <w:rFonts w:ascii="宋体" w:hAnsi="宋体" w:eastAsia="宋体"/>
          <w:bCs/>
          <w:sz w:val="32"/>
          <w:szCs w:val="32"/>
        </w:rPr>
      </w:pPr>
      <w:r>
        <w:rPr>
          <w:rFonts w:hint="eastAsia" w:ascii="宋体" w:hAnsi="宋体" w:eastAsia="宋体"/>
          <w:bCs/>
          <w:sz w:val="32"/>
          <w:szCs w:val="32"/>
        </w:rPr>
        <w:t>公务接待费支出预算为</w:t>
      </w:r>
      <w:r>
        <w:rPr>
          <w:rFonts w:hint="eastAsia" w:ascii="宋体" w:hAnsi="宋体" w:eastAsia="宋体"/>
          <w:bCs/>
          <w:sz w:val="32"/>
          <w:szCs w:val="32"/>
          <w:lang w:val="en-US" w:eastAsia="zh-CN"/>
        </w:rPr>
        <w:t>3</w:t>
      </w:r>
      <w:r>
        <w:rPr>
          <w:rFonts w:hint="eastAsia" w:ascii="宋体" w:hAnsi="宋体" w:eastAsia="宋体"/>
          <w:bCs/>
          <w:sz w:val="32"/>
          <w:szCs w:val="32"/>
        </w:rPr>
        <w:t>万元，支出决算为0万元。</w:t>
      </w:r>
      <w:r>
        <w:rPr>
          <w:rFonts w:hint="eastAsia" w:ascii="宋体" w:hAnsi="宋体" w:eastAsia="宋体"/>
          <w:bCs/>
          <w:sz w:val="32"/>
          <w:szCs w:val="32"/>
          <w:lang w:val="en-US" w:eastAsia="zh-CN"/>
        </w:rPr>
        <w:t>决算数小于预算数的主要原因是单位厉行节约，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主要原因是单位一直厉行节约，严控公务接待</w:t>
      </w:r>
      <w:r>
        <w:rPr>
          <w:rFonts w:hint="eastAsia" w:ascii="宋体" w:hAnsi="宋体" w:eastAsia="宋体"/>
          <w:bCs/>
          <w:sz w:val="32"/>
          <w:szCs w:val="32"/>
        </w:rPr>
        <w:t>。</w:t>
      </w:r>
    </w:p>
    <w:p>
      <w:pPr>
        <w:numPr>
          <w:ilvl w:val="0"/>
          <w:numId w:val="0"/>
        </w:numPr>
        <w:ind w:leftChars="300"/>
        <w:rPr>
          <w:rFonts w:hint="eastAsia" w:ascii="宋体" w:hAnsi="宋体" w:eastAsia="宋体"/>
          <w:bCs/>
          <w:sz w:val="32"/>
          <w:szCs w:val="32"/>
        </w:rPr>
      </w:pPr>
      <w:r>
        <w:rPr>
          <w:rFonts w:hint="eastAsia" w:ascii="宋体" w:hAnsi="宋体" w:eastAsia="宋体"/>
          <w:bCs/>
          <w:sz w:val="32"/>
          <w:szCs w:val="32"/>
        </w:rPr>
        <w:t>公务用车购置费及运行维护费支出预算为0万元，支出决算为0万元，</w:t>
      </w:r>
    </w:p>
    <w:p>
      <w:pPr>
        <w:numPr>
          <w:ilvl w:val="0"/>
          <w:numId w:val="0"/>
        </w:numPr>
        <w:rPr>
          <w:rFonts w:asciiTheme="minorEastAsia" w:hAnsiTheme="minorEastAsia" w:eastAsiaTheme="minorEastAsia"/>
          <w:sz w:val="32"/>
          <w:szCs w:val="32"/>
        </w:rPr>
      </w:pPr>
      <w:r>
        <w:rPr>
          <w:rFonts w:hint="eastAsia" w:ascii="宋体" w:hAnsi="宋体" w:eastAsia="宋体"/>
          <w:bCs/>
          <w:sz w:val="32"/>
          <w:szCs w:val="32"/>
          <w:lang w:val="en-US" w:eastAsia="zh-CN"/>
        </w:rPr>
        <w:t>决算数与预算数一致为0的主要原因是单位无公车，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pStyle w:val="9"/>
        <w:numPr>
          <w:ilvl w:val="0"/>
          <w:numId w:val="2"/>
        </w:numPr>
        <w:rPr>
          <w:rFonts w:asciiTheme="minorEastAsia" w:hAnsiTheme="minorEastAsia" w:eastAsiaTheme="minorEastAsia"/>
          <w:b/>
          <w:sz w:val="32"/>
          <w:szCs w:val="32"/>
        </w:rPr>
      </w:pPr>
      <w:r>
        <w:rPr>
          <w:rFonts w:hint="eastAsia" w:asciiTheme="minorEastAsia" w:hAnsiTheme="minorEastAsia" w:eastAsiaTheme="minorEastAsia"/>
          <w:b/>
          <w:sz w:val="32"/>
          <w:szCs w:val="32"/>
        </w:rPr>
        <w:t>“三公”经费财政拨款支出决算具体情况说明</w:t>
      </w:r>
    </w:p>
    <w:p>
      <w:pPr>
        <w:pStyle w:val="9"/>
        <w:ind w:firstLine="640" w:firstLineChars="200"/>
        <w:rPr>
          <w:rFonts w:ascii="宋体" w:hAnsi="宋体" w:eastAsia="宋体"/>
          <w:sz w:val="32"/>
          <w:szCs w:val="32"/>
        </w:rPr>
      </w:pPr>
      <w:r>
        <w:rPr>
          <w:rFonts w:hint="eastAsia" w:ascii="宋体" w:hAnsi="宋体" w:eastAsia="宋体"/>
          <w:sz w:val="32"/>
          <w:szCs w:val="32"/>
        </w:rPr>
        <w:t>2020年度“三公”经费财政拨款支出决算中，公务接待费支出决算0万元，占0%,因公出国（境）费支出决算0万元，占0%,公务用车购置费及运行维护费支出决算0万元，占0%。其中：</w:t>
      </w:r>
    </w:p>
    <w:p>
      <w:pPr>
        <w:pStyle w:val="9"/>
        <w:numPr>
          <w:ilvl w:val="0"/>
          <w:numId w:val="3"/>
        </w:numPr>
        <w:ind w:firstLine="640" w:firstLineChars="200"/>
        <w:rPr>
          <w:rFonts w:hint="eastAsia" w:ascii="宋体" w:hAnsi="宋体" w:eastAsia="宋体"/>
          <w:sz w:val="32"/>
          <w:szCs w:val="32"/>
        </w:rPr>
      </w:pPr>
      <w:r>
        <w:rPr>
          <w:rFonts w:hint="eastAsia" w:ascii="宋体" w:hAnsi="宋体" w:eastAsia="宋体"/>
          <w:sz w:val="32"/>
          <w:szCs w:val="32"/>
        </w:rPr>
        <w:t>因公出国（境）费支出决算为0万元，全年安排因公出国（境）团组0个，累计0人次。</w:t>
      </w:r>
    </w:p>
    <w:p>
      <w:pPr>
        <w:pStyle w:val="9"/>
        <w:numPr>
          <w:ilvl w:val="0"/>
          <w:numId w:val="3"/>
        </w:numPr>
        <w:ind w:left="0" w:leftChars="0" w:firstLine="640" w:firstLineChars="200"/>
        <w:rPr>
          <w:rFonts w:hint="eastAsia" w:ascii="宋体" w:hAnsi="宋体" w:eastAsia="宋体"/>
          <w:sz w:val="32"/>
          <w:szCs w:val="32"/>
        </w:rPr>
      </w:pPr>
      <w:r>
        <w:rPr>
          <w:rFonts w:hint="eastAsia" w:ascii="宋体" w:hAnsi="宋体" w:eastAsia="宋体"/>
          <w:sz w:val="32"/>
          <w:szCs w:val="32"/>
        </w:rPr>
        <w:t>公务接待费支出决算为0万元，全年共接待来访团组0个、来宾0人次。</w:t>
      </w:r>
    </w:p>
    <w:p>
      <w:pPr>
        <w:pStyle w:val="9"/>
        <w:ind w:firstLine="640" w:firstLineChars="200"/>
        <w:rPr>
          <w:rFonts w:hint="eastAsia"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公务用车购置费及运行维护费支出决算为0万元，其中：公务用车购置费0万元，</w:t>
      </w:r>
      <w:r>
        <w:rPr>
          <w:rFonts w:hint="eastAsia" w:ascii="宋体" w:hAnsi="宋体" w:eastAsia="宋体"/>
          <w:sz w:val="32"/>
          <w:szCs w:val="32"/>
          <w:lang w:val="en-US" w:eastAsia="zh-CN"/>
        </w:rPr>
        <w:t>单位本级</w:t>
      </w:r>
      <w:r>
        <w:rPr>
          <w:rFonts w:hint="eastAsia" w:ascii="宋体" w:hAnsi="宋体" w:eastAsia="宋体"/>
          <w:sz w:val="32"/>
          <w:szCs w:val="32"/>
        </w:rPr>
        <w:t>更新公务用车0辆。公务用车运行维护费0万元，截止2020年12月31日，我单位开支财政拨款的公务用车保有量为0辆。</w:t>
      </w:r>
      <w:r>
        <w:rPr>
          <w:rFonts w:hint="eastAsia" w:ascii="宋体" w:hAnsi="宋体" w:eastAsia="宋体"/>
          <w:sz w:val="32"/>
          <w:szCs w:val="32"/>
          <w:lang w:val="en-US" w:eastAsia="zh-CN"/>
        </w:rPr>
        <w:t>当年没有购置公务用车。</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本单位2020年度无政府性基金收支。</w:t>
      </w:r>
    </w:p>
    <w:p>
      <w:pPr>
        <w:pStyle w:val="9"/>
        <w:rPr>
          <w:rFonts w:hAnsi="黑体"/>
          <w:b/>
          <w:sz w:val="32"/>
          <w:szCs w:val="32"/>
        </w:rPr>
      </w:pPr>
      <w:r>
        <w:rPr>
          <w:rFonts w:hint="eastAsia" w:hAnsi="黑体"/>
          <w:b/>
          <w:sz w:val="32"/>
          <w:szCs w:val="32"/>
        </w:rPr>
        <w:t>九、国有资本经营预算财政拨款支出决算情况</w:t>
      </w:r>
    </w:p>
    <w:p>
      <w:pPr>
        <w:pStyle w:val="9"/>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本单位2020年度无国有资本经营预算财政拨款支出</w:t>
      </w:r>
      <w:r>
        <w:rPr>
          <w:rFonts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hint="eastAsia" w:ascii="宋体" w:hAnsi="宋体" w:eastAsia="宋体"/>
          <w:sz w:val="32"/>
          <w:szCs w:val="32"/>
          <w:lang w:eastAsia="zh-CN"/>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9"/>
        <w:rPr>
          <w:rFonts w:hAnsi="黑体"/>
          <w:b/>
          <w:sz w:val="32"/>
          <w:szCs w:val="32"/>
        </w:rPr>
      </w:pPr>
      <w:r>
        <w:rPr>
          <w:rFonts w:hint="eastAsia" w:hAnsi="黑体"/>
          <w:b/>
          <w:sz w:val="32"/>
          <w:szCs w:val="32"/>
        </w:rPr>
        <w:t>十一、一般性支出情况</w:t>
      </w:r>
    </w:p>
    <w:p>
      <w:pPr>
        <w:widowControl/>
        <w:shd w:val="clear" w:color="auto" w:fill="FFFFFF"/>
        <w:ind w:firstLine="640" w:firstLineChars="200"/>
        <w:rPr>
          <w:rFonts w:ascii="宋体" w:hAnsi="宋体"/>
          <w:color w:val="000000"/>
          <w:sz w:val="32"/>
          <w:szCs w:val="32"/>
        </w:rPr>
      </w:pPr>
      <w:r>
        <w:rPr>
          <w:rFonts w:hint="eastAsia" w:ascii="宋体" w:hAnsi="宋体" w:cs="黑体"/>
          <w:color w:val="000000"/>
          <w:kern w:val="0"/>
          <w:sz w:val="32"/>
          <w:szCs w:val="32"/>
        </w:rPr>
        <w:t>2020年本部门开支会议费0万元</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未召开会议，人数0人</w:t>
      </w:r>
      <w:r>
        <w:rPr>
          <w:rFonts w:hint="eastAsia" w:ascii="宋体" w:hAnsi="宋体" w:cs="黑体"/>
          <w:color w:val="000000"/>
          <w:kern w:val="0"/>
          <w:sz w:val="32"/>
          <w:szCs w:val="32"/>
        </w:rPr>
        <w:t>；开支培训费</w:t>
      </w:r>
      <w:r>
        <w:rPr>
          <w:rFonts w:hint="eastAsia" w:ascii="宋体" w:hAnsi="宋体" w:cs="黑体"/>
          <w:color w:val="000000"/>
          <w:kern w:val="0"/>
          <w:sz w:val="32"/>
          <w:szCs w:val="32"/>
          <w:lang w:val="en-US" w:eastAsia="zh-CN"/>
        </w:rPr>
        <w:t>0.18</w:t>
      </w:r>
      <w:r>
        <w:rPr>
          <w:rFonts w:hint="eastAsia" w:ascii="宋体" w:hAnsi="宋体" w:cs="黑体"/>
          <w:color w:val="000000"/>
          <w:kern w:val="0"/>
          <w:sz w:val="32"/>
          <w:szCs w:val="32"/>
        </w:rPr>
        <w:t>万元，用于开展教师培训</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人数30人，内容为教师</w:t>
      </w:r>
      <w:r>
        <w:rPr>
          <w:rFonts w:hint="eastAsia" w:asciiTheme="minorEastAsia" w:hAnsiTheme="minorEastAsia" w:eastAsiaTheme="minorEastAsia"/>
          <w:sz w:val="32"/>
          <w:szCs w:val="32"/>
        </w:rPr>
        <w:t>外出交流</w:t>
      </w:r>
      <w:r>
        <w:rPr>
          <w:rFonts w:hint="eastAsia" w:ascii="宋体" w:hAnsi="宋体" w:cs="黑体"/>
          <w:color w:val="000000"/>
          <w:kern w:val="0"/>
          <w:sz w:val="32"/>
          <w:szCs w:val="32"/>
          <w:lang w:val="en-US" w:eastAsia="zh-CN"/>
        </w:rPr>
        <w:t>；未</w:t>
      </w:r>
      <w:r>
        <w:rPr>
          <w:rFonts w:hint="eastAsia" w:ascii="宋体" w:hAnsi="宋体" w:cs="黑体"/>
          <w:color w:val="000000"/>
          <w:kern w:val="0"/>
          <w:sz w:val="32"/>
          <w:szCs w:val="32"/>
        </w:rPr>
        <w:t>举办节庆、晚会、论坛、赛事活动</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开支0万元。</w:t>
      </w:r>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9"/>
        <w:rPr>
          <w:rFonts w:hAnsi="黑体"/>
          <w:b/>
          <w:sz w:val="32"/>
          <w:szCs w:val="32"/>
        </w:rPr>
      </w:pPr>
      <w:r>
        <w:rPr>
          <w:rFonts w:hint="eastAsia" w:hAnsi="黑体"/>
          <w:b/>
          <w:sz w:val="32"/>
          <w:szCs w:val="32"/>
        </w:rPr>
        <w:t>十三、关于国有资产占用情况说明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本部门预算绩效管理开展情况、绩效目标和绩效评价报告等，按照财政绩效部门要求已公开</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详情见第五部分附件。</w:t>
      </w:r>
    </w:p>
    <w:p>
      <w:pPr>
        <w:pStyle w:val="9"/>
        <w:rPr>
          <w:rFonts w:hAnsi="黑体"/>
          <w:b/>
          <w:sz w:val="32"/>
          <w:szCs w:val="32"/>
        </w:rPr>
      </w:pPr>
    </w:p>
    <w:p>
      <w:pPr>
        <w:pStyle w:val="9"/>
        <w:jc w:val="center"/>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一、机关运行经费</w:t>
      </w:r>
      <w:r>
        <w:rPr>
          <w:rFonts w:hint="eastAsia" w:cs="黑体" w:asciiTheme="minorEastAsia" w:hAnsiTheme="minorEastAsia"/>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二、“三公”经费</w:t>
      </w:r>
      <w:r>
        <w:rPr>
          <w:rFonts w:hint="eastAsia" w:cs="黑体" w:asciiTheme="minorEastAsia" w:hAnsiTheme="minorEastAsia"/>
          <w:color w:val="000000"/>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三、财政拨款收入</w:t>
      </w:r>
      <w:r>
        <w:rPr>
          <w:rFonts w:hint="eastAsia" w:cs="黑体" w:asciiTheme="minorEastAsia" w:hAnsiTheme="minorEastAsia"/>
          <w:color w:val="000000"/>
          <w:kern w:val="0"/>
          <w:sz w:val="32"/>
          <w:szCs w:val="32"/>
        </w:rPr>
        <w:t>：指本级财政当年拨付的资金。</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四、政府性基金</w:t>
      </w:r>
      <w:r>
        <w:rPr>
          <w:rFonts w:hint="eastAsia" w:cs="黑体" w:asciiTheme="minorEastAsia" w:hAnsiTheme="minorEastAsia"/>
          <w:color w:val="000000"/>
          <w:kern w:val="0"/>
          <w:sz w:val="32"/>
          <w:szCs w:val="32"/>
        </w:rPr>
        <w:t>：指各级政府及其所属部门根据法律、国家行政法规和中共中央、国务院有关文件的规定，为支持某项事业发展，按照国家规定程序批准，向公民、法人和其他组织征收的具有专项用途的资金。</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五、国有资本经营预算</w:t>
      </w:r>
      <w:r>
        <w:rPr>
          <w:rFonts w:hint="eastAsia" w:cs="黑体" w:asciiTheme="minorEastAsia" w:hAnsiTheme="minorEastAsia"/>
          <w:color w:val="000000"/>
          <w:kern w:val="0"/>
          <w:sz w:val="32"/>
          <w:szCs w:val="32"/>
        </w:rPr>
        <w:t>：国家以所有者身份对国有资本实行存量调整和增量分配而发生的各项收支预算，是政府预算的重要组成部分。</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六、教育支出（类）</w:t>
      </w:r>
      <w:r>
        <w:rPr>
          <w:rFonts w:hint="eastAsia" w:cs="黑体" w:asciiTheme="minorEastAsia" w:hAnsiTheme="minorEastAsia"/>
          <w:color w:val="000000"/>
          <w:kern w:val="0"/>
          <w:sz w:val="32"/>
          <w:szCs w:val="32"/>
        </w:rPr>
        <w:t>：是指用于政府教育事务支出，包括保障机构正常运转、完成日常和特定的工作任务或事业发展目标的支出。</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七、社会保障和就业支出（类）</w:t>
      </w:r>
      <w:r>
        <w:rPr>
          <w:rFonts w:hint="eastAsia" w:cs="黑体" w:asciiTheme="minorEastAsia" w:hAnsiTheme="minorEastAsia"/>
          <w:color w:val="000000"/>
          <w:kern w:val="0"/>
          <w:sz w:val="32"/>
          <w:szCs w:val="32"/>
        </w:rPr>
        <w:t>：是指用于社会保障和就业方面的支出，包括保障机构正常运转、完成日常和特定的工作任务或事业发展目标的支出。归口管理的行政单位离退休，指离退休人员管理机构统一管理的机关离退休人员的经费。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八、医疗卫生与计划生育支出（类）</w:t>
      </w:r>
      <w:r>
        <w:rPr>
          <w:rFonts w:hint="eastAsia" w:cs="黑体" w:asciiTheme="minorEastAsia" w:hAnsiTheme="minorEastAsia"/>
          <w:color w:val="000000"/>
          <w:kern w:val="0"/>
          <w:sz w:val="32"/>
          <w:szCs w:val="32"/>
        </w:rPr>
        <w:t>：是指用于医疗卫生与计划生育方面的支出，包括保障机构正常运转、完成日常和特定的工作任务或事业发展目标的支出。</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九、住房保障支出（类）</w:t>
      </w:r>
      <w:r>
        <w:rPr>
          <w:rFonts w:hint="eastAsia" w:cs="黑体" w:asciiTheme="minorEastAsia" w:hAnsiTheme="minorEastAsia"/>
          <w:color w:val="000000"/>
          <w:kern w:val="0"/>
          <w:sz w:val="32"/>
          <w:szCs w:val="32"/>
        </w:rPr>
        <w:t>：是指用于住房方面的支出，包括保障机构正常运转、完成日常和特定的工作任务或事业发展目标的支出。</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十、基本支出</w:t>
      </w:r>
      <w:r>
        <w:rPr>
          <w:rFonts w:hint="eastAsia" w:cs="黑体" w:asciiTheme="minorEastAsia" w:hAnsiTheme="minorEastAsia"/>
          <w:color w:val="000000"/>
          <w:kern w:val="0"/>
          <w:sz w:val="32"/>
          <w:szCs w:val="32"/>
        </w:rPr>
        <w:t>：指保障机构正常运转、完成支日常工作任务而发生的人员支出和公用支出。</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十一、项目支出</w:t>
      </w:r>
      <w:r>
        <w:rPr>
          <w:rFonts w:hint="eastAsia" w:cs="黑体" w:asciiTheme="minorEastAsia" w:hAnsiTheme="minorEastAsia"/>
          <w:color w:val="000000"/>
          <w:kern w:val="0"/>
          <w:sz w:val="32"/>
          <w:szCs w:val="32"/>
        </w:rPr>
        <w:t>：指在基本支出之外为完成特定行政任务和事业发展目标所发生的支出。</w:t>
      </w:r>
    </w:p>
    <w:p>
      <w:pPr>
        <w:widowControl/>
        <w:jc w:val="left"/>
        <w:rPr>
          <w:rFonts w:cs="黑体" w:asciiTheme="minorEastAsia" w:hAnsiTheme="minorEastAsia"/>
          <w:color w:val="000000"/>
          <w:kern w:val="0"/>
          <w:sz w:val="32"/>
          <w:szCs w:val="32"/>
        </w:rPr>
      </w:pPr>
      <w:r>
        <w:rPr>
          <w:rFonts w:hint="eastAsia" w:ascii="黑体" w:hAnsi="黑体" w:eastAsia="黑体" w:cs="黑体"/>
          <w:b/>
          <w:color w:val="000000"/>
          <w:kern w:val="0"/>
          <w:sz w:val="32"/>
          <w:szCs w:val="32"/>
        </w:rPr>
        <w:t>十二、政府采购</w:t>
      </w:r>
      <w:r>
        <w:rPr>
          <w:rFonts w:hint="eastAsia" w:cs="黑体" w:asciiTheme="minorEastAsia" w:hAnsiTheme="minorEastAsia"/>
          <w:color w:val="000000"/>
          <w:kern w:val="0"/>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widowControl/>
        <w:jc w:val="center"/>
        <w:rPr>
          <w:rFonts w:ascii="黑体" w:eastAsia="黑体" w:cs="黑体"/>
          <w:color w:val="000000"/>
          <w:kern w:val="0"/>
          <w:sz w:val="70"/>
          <w:szCs w:val="70"/>
        </w:rPr>
      </w:pPr>
      <w:r>
        <w:rPr>
          <w:rFonts w:hint="eastAsia" w:cs="黑体" w:asciiTheme="minorEastAsia" w:hAnsiTheme="minorEastAsia"/>
          <w:b/>
          <w:color w:val="000000"/>
          <w:kern w:val="0"/>
          <w:sz w:val="36"/>
          <w:szCs w:val="36"/>
        </w:rPr>
        <w:t>2020年度部门整体支出绩效评价报告</w:t>
      </w:r>
    </w:p>
    <w:p>
      <w:pPr>
        <w:ind w:firstLine="720" w:firstLineChars="200"/>
        <w:jc w:val="center"/>
        <w:rPr>
          <w:rFonts w:cs="黑体" w:asciiTheme="minorEastAsia" w:hAnsiTheme="minorEastAsia"/>
          <w:b/>
          <w:color w:val="000000"/>
          <w:kern w:val="0"/>
          <w:sz w:val="36"/>
          <w:szCs w:val="36"/>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一、部门（单位）概况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（一）部门（单位）基本情况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1．机构情况。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岳阳市第十三中学为全额拨款事业单位，隶属岳阳市教体局。执行政府会计制度。机构数1个。</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2．学校人员情况。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2020年年末人员编制数137人，其中：专业技术人员137人。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（二）部门（单位）整体支出规模、使用方向和主要内容、涉及范围等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2020整体支出2686.32万元，其中工资福利支出2138.26万元，商品服务支出389.67万元，对个人和家庭补助支出151.13万元，其他资本性支出7.26万元。</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二、部门（单位）整体支出管理及使用情况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基本支出2520.52万元，占本年总支出93.83%。主要用于教职工工资福利发放、办公印刷、水电维修、培训差旅、工会经费等。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（二）专项支出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1、专项资金2020年共安排到位165.80万元；</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2、专项资金2020年支出165.80万元，已按计划时间到位的项目资金使用率达100%；</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3、专项资金管理，建立了财务管理制度、资金管理制度、内控制度等专项资金管理办法、严格执行审批程序、支出依据合规。</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三、部门（单位）专项组织实施情况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（一）专项组织情况分析</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项目都进行了预算，并公开项目招投标，根据学校实际情况确经增加内容的，按程序申报后，再实施。项目竣工按程序验收，达到合同的质量要求，才给予结算、付款。</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（二）专项管理情况分析</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学校成立了项目实施小组，对项目建设进行监督管理，对项目的进度、质量、存在的问题，解决的办法等进行及时跟踪及处理。</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四、部门（单位）整体支出绩效情况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学校根据事业发展规划和年度工作任务编制年度财务收支计划，通过全面推进单位内部控制建设，强化各部门各年级的责任主体意识，细致梳理各类经济活动的规章制度及其业务流程，严格控制成本，实现各类经济活动决策、执行、监督的有效分离。在此基础上，学校相关部门组织了年度考核、审计和相关检查，对学校整体情况进行自评。 </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五、存在的主要问题</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1、教育投入不能满足教育发展要求；</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2、绩效评价工作有待加强。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六、改进措施和有关建议</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建议加大对学校基础设施及教学设备的建设改造，提高高中公用经费投入。进一步加强绩效评价工作的业务培训。</w:t>
      </w: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C36E3"/>
    <w:multiLevelType w:val="singleLevel"/>
    <w:tmpl w:val="91CC36E3"/>
    <w:lvl w:ilvl="0" w:tentative="0">
      <w:start w:val="1"/>
      <w:numFmt w:val="decimal"/>
      <w:suff w:val="nothing"/>
      <w:lvlText w:val="%1、"/>
      <w:lvlJc w:val="left"/>
    </w:lvl>
  </w:abstractNum>
  <w:abstractNum w:abstractNumId="1">
    <w:nsid w:val="F83BCBB6"/>
    <w:multiLevelType w:val="singleLevel"/>
    <w:tmpl w:val="F83BCBB6"/>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yY2NjYWY0NDFlNmY3YWVjMmFlMWExMWMzMDYzZTMifQ=="/>
  </w:docVars>
  <w:rsids>
    <w:rsidRoot w:val="004506F9"/>
    <w:rsid w:val="0002229B"/>
    <w:rsid w:val="000273BD"/>
    <w:rsid w:val="000415B7"/>
    <w:rsid w:val="00041E3F"/>
    <w:rsid w:val="00055DAA"/>
    <w:rsid w:val="00061F7B"/>
    <w:rsid w:val="000658A3"/>
    <w:rsid w:val="00074155"/>
    <w:rsid w:val="00083EA5"/>
    <w:rsid w:val="000A3F69"/>
    <w:rsid w:val="000E3EB2"/>
    <w:rsid w:val="001033CD"/>
    <w:rsid w:val="00103957"/>
    <w:rsid w:val="00130167"/>
    <w:rsid w:val="00146A9B"/>
    <w:rsid w:val="00152C6D"/>
    <w:rsid w:val="0015737F"/>
    <w:rsid w:val="00162D39"/>
    <w:rsid w:val="001678BD"/>
    <w:rsid w:val="00185DB4"/>
    <w:rsid w:val="001A67DB"/>
    <w:rsid w:val="001C3C29"/>
    <w:rsid w:val="001D4F1A"/>
    <w:rsid w:val="001D51E5"/>
    <w:rsid w:val="001E080D"/>
    <w:rsid w:val="001E53D0"/>
    <w:rsid w:val="001F0C3B"/>
    <w:rsid w:val="00202C82"/>
    <w:rsid w:val="0020765A"/>
    <w:rsid w:val="00210B4D"/>
    <w:rsid w:val="00214427"/>
    <w:rsid w:val="00220083"/>
    <w:rsid w:val="00226CB7"/>
    <w:rsid w:val="002404B6"/>
    <w:rsid w:val="00264552"/>
    <w:rsid w:val="00264EF9"/>
    <w:rsid w:val="00265724"/>
    <w:rsid w:val="00271FBF"/>
    <w:rsid w:val="0027426B"/>
    <w:rsid w:val="002D7169"/>
    <w:rsid w:val="002E0A30"/>
    <w:rsid w:val="003130C4"/>
    <w:rsid w:val="00316C4B"/>
    <w:rsid w:val="0032192B"/>
    <w:rsid w:val="003337C0"/>
    <w:rsid w:val="003479BD"/>
    <w:rsid w:val="00353197"/>
    <w:rsid w:val="00360F0A"/>
    <w:rsid w:val="0037197D"/>
    <w:rsid w:val="003768D5"/>
    <w:rsid w:val="00382DC2"/>
    <w:rsid w:val="00390045"/>
    <w:rsid w:val="003C47E6"/>
    <w:rsid w:val="003C4B1A"/>
    <w:rsid w:val="003C4FC2"/>
    <w:rsid w:val="00416E61"/>
    <w:rsid w:val="0042790C"/>
    <w:rsid w:val="004506F9"/>
    <w:rsid w:val="004717A2"/>
    <w:rsid w:val="00473DF3"/>
    <w:rsid w:val="00487911"/>
    <w:rsid w:val="00491741"/>
    <w:rsid w:val="004E20BE"/>
    <w:rsid w:val="004F0376"/>
    <w:rsid w:val="00500E5F"/>
    <w:rsid w:val="005122EF"/>
    <w:rsid w:val="0051441A"/>
    <w:rsid w:val="00517C33"/>
    <w:rsid w:val="00523644"/>
    <w:rsid w:val="00534563"/>
    <w:rsid w:val="0054069E"/>
    <w:rsid w:val="00544866"/>
    <w:rsid w:val="00557EE0"/>
    <w:rsid w:val="005767CC"/>
    <w:rsid w:val="00583382"/>
    <w:rsid w:val="00590D9F"/>
    <w:rsid w:val="00595D26"/>
    <w:rsid w:val="005A74E6"/>
    <w:rsid w:val="005B404E"/>
    <w:rsid w:val="005B74B2"/>
    <w:rsid w:val="005D4D55"/>
    <w:rsid w:val="005E2CFB"/>
    <w:rsid w:val="005E756B"/>
    <w:rsid w:val="005F3D1C"/>
    <w:rsid w:val="005F7321"/>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176"/>
    <w:rsid w:val="00727A53"/>
    <w:rsid w:val="007309F3"/>
    <w:rsid w:val="00731893"/>
    <w:rsid w:val="007577B6"/>
    <w:rsid w:val="00760BB2"/>
    <w:rsid w:val="00770C9A"/>
    <w:rsid w:val="00787B42"/>
    <w:rsid w:val="007C4539"/>
    <w:rsid w:val="007E47EC"/>
    <w:rsid w:val="007F3657"/>
    <w:rsid w:val="00812ED5"/>
    <w:rsid w:val="008277D9"/>
    <w:rsid w:val="00844755"/>
    <w:rsid w:val="0084478C"/>
    <w:rsid w:val="0086638C"/>
    <w:rsid w:val="008A3E8D"/>
    <w:rsid w:val="0090634C"/>
    <w:rsid w:val="009237C4"/>
    <w:rsid w:val="00944C48"/>
    <w:rsid w:val="00950252"/>
    <w:rsid w:val="00967F5D"/>
    <w:rsid w:val="00991710"/>
    <w:rsid w:val="009A0F95"/>
    <w:rsid w:val="009B3ADF"/>
    <w:rsid w:val="009C3B52"/>
    <w:rsid w:val="009E6817"/>
    <w:rsid w:val="009E6E9A"/>
    <w:rsid w:val="009F7E96"/>
    <w:rsid w:val="00A01D2B"/>
    <w:rsid w:val="00A276B0"/>
    <w:rsid w:val="00A34539"/>
    <w:rsid w:val="00A42218"/>
    <w:rsid w:val="00A70249"/>
    <w:rsid w:val="00A70B02"/>
    <w:rsid w:val="00A71D9F"/>
    <w:rsid w:val="00A92E9F"/>
    <w:rsid w:val="00AF08E2"/>
    <w:rsid w:val="00B33BEA"/>
    <w:rsid w:val="00B57C9F"/>
    <w:rsid w:val="00B63572"/>
    <w:rsid w:val="00B845B3"/>
    <w:rsid w:val="00B85D8B"/>
    <w:rsid w:val="00BB4A40"/>
    <w:rsid w:val="00BC257B"/>
    <w:rsid w:val="00BD6C3E"/>
    <w:rsid w:val="00BE3674"/>
    <w:rsid w:val="00C00E82"/>
    <w:rsid w:val="00C10681"/>
    <w:rsid w:val="00C3049A"/>
    <w:rsid w:val="00C31B1E"/>
    <w:rsid w:val="00C77645"/>
    <w:rsid w:val="00C81CAA"/>
    <w:rsid w:val="00C831F4"/>
    <w:rsid w:val="00CE04C3"/>
    <w:rsid w:val="00CE76A0"/>
    <w:rsid w:val="00D05F0E"/>
    <w:rsid w:val="00D148C6"/>
    <w:rsid w:val="00D17A8A"/>
    <w:rsid w:val="00D415BA"/>
    <w:rsid w:val="00D644EE"/>
    <w:rsid w:val="00D7407C"/>
    <w:rsid w:val="00D92E6A"/>
    <w:rsid w:val="00D97203"/>
    <w:rsid w:val="00DD06FF"/>
    <w:rsid w:val="00DD5FE9"/>
    <w:rsid w:val="00DE137D"/>
    <w:rsid w:val="00E00C7A"/>
    <w:rsid w:val="00E37D6C"/>
    <w:rsid w:val="00E55B68"/>
    <w:rsid w:val="00E67BE6"/>
    <w:rsid w:val="00E67D63"/>
    <w:rsid w:val="00E8683C"/>
    <w:rsid w:val="00EA2B72"/>
    <w:rsid w:val="00EB197F"/>
    <w:rsid w:val="00ED51D2"/>
    <w:rsid w:val="00EF0620"/>
    <w:rsid w:val="00F74360"/>
    <w:rsid w:val="00FB462F"/>
    <w:rsid w:val="00FE16FA"/>
    <w:rsid w:val="00FE328A"/>
    <w:rsid w:val="00FE6269"/>
    <w:rsid w:val="031C5F6A"/>
    <w:rsid w:val="036E5B0B"/>
    <w:rsid w:val="047873DB"/>
    <w:rsid w:val="05C418B3"/>
    <w:rsid w:val="08B877E4"/>
    <w:rsid w:val="09313293"/>
    <w:rsid w:val="116831A7"/>
    <w:rsid w:val="131D28EA"/>
    <w:rsid w:val="15DC46C6"/>
    <w:rsid w:val="170A39EF"/>
    <w:rsid w:val="198D64D6"/>
    <w:rsid w:val="19EA0470"/>
    <w:rsid w:val="1A803B89"/>
    <w:rsid w:val="208923C2"/>
    <w:rsid w:val="20B96644"/>
    <w:rsid w:val="222F6D4F"/>
    <w:rsid w:val="28506969"/>
    <w:rsid w:val="2D9A4D7A"/>
    <w:rsid w:val="348C2E74"/>
    <w:rsid w:val="393D4DE7"/>
    <w:rsid w:val="3EE95E0A"/>
    <w:rsid w:val="420F1F64"/>
    <w:rsid w:val="48AA0023"/>
    <w:rsid w:val="4C4A2264"/>
    <w:rsid w:val="4E43270C"/>
    <w:rsid w:val="4EE8452F"/>
    <w:rsid w:val="61A243C6"/>
    <w:rsid w:val="63682D32"/>
    <w:rsid w:val="663C2C42"/>
    <w:rsid w:val="6B945E48"/>
    <w:rsid w:val="74AA40A8"/>
    <w:rsid w:val="772B352D"/>
    <w:rsid w:val="78035D44"/>
    <w:rsid w:val="7F383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sz w:val="18"/>
      <w:szCs w:val="18"/>
    </w:rPr>
  </w:style>
  <w:style w:type="character" w:customStyle="1" w:styleId="8">
    <w:name w:val="页脚 Char"/>
    <w:basedOn w:val="6"/>
    <w:link w:val="4"/>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FA03-7A17-4B76-8A4C-2DA4653E2A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7984</Words>
  <Characters>10868</Characters>
  <Lines>92</Lines>
  <Paragraphs>26</Paragraphs>
  <TotalTime>2</TotalTime>
  <ScaleCrop>false</ScaleCrop>
  <LinksUpToDate>false</LinksUpToDate>
  <CharactersWithSpaces>12003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何蔚</cp:lastModifiedBy>
  <cp:lastPrinted>2022-06-15T01:37:00Z</cp:lastPrinted>
  <dcterms:modified xsi:type="dcterms:W3CDTF">2022-08-20T05:48:57Z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CE62D03DB8D74052961219FEE1A8CE33</vt:lpwstr>
  </property>
</Properties>
</file>