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shd w:val="clear" w:color="FFFFFF" w:fill="D9D9D9"/>
        </w:rPr>
      </w:pPr>
    </w:p>
    <w:p>
      <w:pPr>
        <w:pStyle w:val="10"/>
        <w:jc w:val="center"/>
        <w:rPr>
          <w:sz w:val="56"/>
          <w:szCs w:val="56"/>
          <w:shd w:val="clear" w:color="FFFFFF" w:fill="D9D9D9"/>
        </w:rPr>
      </w:pPr>
    </w:p>
    <w:p>
      <w:pPr>
        <w:pStyle w:val="10"/>
        <w:jc w:val="center"/>
        <w:rPr>
          <w:sz w:val="84"/>
          <w:szCs w:val="84"/>
          <w:shd w:val="clear" w:color="FFFFFF" w:fill="D9D9D9"/>
        </w:rPr>
      </w:pPr>
    </w:p>
    <w:p>
      <w:pPr>
        <w:pStyle w:val="10"/>
        <w:jc w:val="center"/>
        <w:rPr>
          <w:sz w:val="84"/>
          <w:szCs w:val="84"/>
          <w:shd w:val="clear" w:color="FFFFFF" w:fill="D9D9D9"/>
        </w:rPr>
      </w:pPr>
    </w:p>
    <w:p>
      <w:pPr>
        <w:pStyle w:val="10"/>
        <w:jc w:val="center"/>
        <w:rPr>
          <w:sz w:val="84"/>
          <w:szCs w:val="84"/>
          <w:shd w:val="clear" w:color="auto" w:fill="auto"/>
        </w:rPr>
      </w:pPr>
      <w:r>
        <w:rPr>
          <w:rFonts w:hint="eastAsia"/>
          <w:sz w:val="84"/>
          <w:szCs w:val="84"/>
          <w:shd w:val="clear" w:color="auto" w:fill="auto"/>
        </w:rPr>
        <w:t>2020年度</w:t>
      </w:r>
    </w:p>
    <w:p>
      <w:pPr>
        <w:pStyle w:val="10"/>
        <w:jc w:val="center"/>
        <w:rPr>
          <w:sz w:val="84"/>
          <w:szCs w:val="84"/>
          <w:shd w:val="clear" w:color="auto" w:fill="auto"/>
        </w:rPr>
      </w:pPr>
      <w:r>
        <w:rPr>
          <w:rFonts w:hint="eastAsia"/>
          <w:sz w:val="84"/>
          <w:szCs w:val="84"/>
          <w:shd w:val="clear" w:color="auto" w:fill="auto"/>
          <w:lang w:eastAsia="zh-CN"/>
        </w:rPr>
        <w:t>岳阳市第九中学</w:t>
      </w:r>
      <w:r>
        <w:rPr>
          <w:rFonts w:hint="eastAsia"/>
          <w:sz w:val="84"/>
          <w:szCs w:val="84"/>
          <w:shd w:val="clear" w:color="auto" w:fill="auto"/>
        </w:rPr>
        <w:t>部门决算</w:t>
      </w:r>
    </w:p>
    <w:p>
      <w:pPr>
        <w:pStyle w:val="10"/>
        <w:jc w:val="center"/>
        <w:rPr>
          <w:sz w:val="56"/>
          <w:szCs w:val="56"/>
          <w:shd w:val="clear" w:color="auto" w:fill="auto"/>
        </w:rPr>
      </w:pPr>
    </w:p>
    <w:p>
      <w:pPr>
        <w:pStyle w:val="10"/>
        <w:jc w:val="center"/>
        <w:rPr>
          <w:sz w:val="56"/>
          <w:szCs w:val="56"/>
          <w:shd w:val="clear" w:color="auto" w:fill="auto"/>
        </w:rPr>
      </w:pPr>
    </w:p>
    <w:p>
      <w:pPr>
        <w:pStyle w:val="10"/>
        <w:jc w:val="center"/>
        <w:rPr>
          <w:sz w:val="56"/>
          <w:szCs w:val="56"/>
          <w:shd w:val="clear" w:color="auto" w:fill="auto"/>
        </w:rPr>
      </w:pPr>
    </w:p>
    <w:p>
      <w:pPr>
        <w:pStyle w:val="10"/>
        <w:jc w:val="center"/>
        <w:rPr>
          <w:sz w:val="56"/>
          <w:szCs w:val="56"/>
          <w:shd w:val="clear" w:color="auto" w:fill="auto"/>
        </w:rPr>
      </w:pPr>
    </w:p>
    <w:p>
      <w:pPr>
        <w:pStyle w:val="10"/>
        <w:jc w:val="center"/>
        <w:rPr>
          <w:sz w:val="32"/>
          <w:szCs w:val="32"/>
          <w:shd w:val="clear" w:color="auto" w:fill="auto"/>
        </w:rPr>
      </w:pPr>
    </w:p>
    <w:p>
      <w:pPr>
        <w:pStyle w:val="10"/>
        <w:jc w:val="center"/>
        <w:rPr>
          <w:sz w:val="32"/>
          <w:szCs w:val="32"/>
          <w:shd w:val="clear" w:color="auto" w:fill="auto"/>
        </w:rPr>
      </w:pPr>
    </w:p>
    <w:p>
      <w:pPr>
        <w:pStyle w:val="10"/>
        <w:jc w:val="center"/>
        <w:rPr>
          <w:sz w:val="32"/>
          <w:szCs w:val="32"/>
          <w:shd w:val="clear" w:color="auto" w:fill="auto"/>
        </w:rPr>
      </w:pPr>
    </w:p>
    <w:p>
      <w:pPr>
        <w:pStyle w:val="10"/>
        <w:jc w:val="center"/>
        <w:rPr>
          <w:sz w:val="32"/>
          <w:szCs w:val="32"/>
          <w:shd w:val="clear" w:color="auto" w:fill="auto"/>
        </w:rPr>
      </w:pPr>
    </w:p>
    <w:p>
      <w:pPr>
        <w:pStyle w:val="10"/>
        <w:jc w:val="center"/>
        <w:rPr>
          <w:sz w:val="32"/>
          <w:szCs w:val="32"/>
          <w:shd w:val="clear" w:color="auto" w:fill="auto"/>
        </w:rPr>
      </w:pPr>
    </w:p>
    <w:p>
      <w:pPr>
        <w:pStyle w:val="10"/>
        <w:spacing w:line="540" w:lineRule="exact"/>
        <w:jc w:val="center"/>
        <w:rPr>
          <w:sz w:val="56"/>
          <w:szCs w:val="56"/>
          <w:shd w:val="clear" w:color="auto" w:fill="auto"/>
        </w:rPr>
      </w:pPr>
    </w:p>
    <w:p>
      <w:pPr>
        <w:pStyle w:val="10"/>
        <w:spacing w:line="500" w:lineRule="exact"/>
        <w:jc w:val="center"/>
        <w:rPr>
          <w:b/>
          <w:sz w:val="36"/>
          <w:szCs w:val="28"/>
          <w:shd w:val="clear" w:color="auto" w:fill="auto"/>
        </w:rPr>
      </w:pPr>
    </w:p>
    <w:p>
      <w:pPr>
        <w:pStyle w:val="10"/>
        <w:spacing w:line="500" w:lineRule="exact"/>
        <w:jc w:val="center"/>
        <w:rPr>
          <w:b/>
          <w:sz w:val="36"/>
          <w:szCs w:val="28"/>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heme="majorEastAsia" w:hAnsiTheme="majorEastAsia" w:eastAsiaTheme="majorEastAsia" w:cstheme="majorEastAsia"/>
          <w:b/>
          <w:bCs/>
          <w:i w:val="0"/>
          <w:iCs w:val="0"/>
          <w:caps w:val="0"/>
          <w:color w:val="auto"/>
          <w:spacing w:val="0"/>
          <w:sz w:val="48"/>
          <w:szCs w:val="48"/>
          <w:highlight w:val="none"/>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heme="majorEastAsia" w:hAnsiTheme="majorEastAsia" w:eastAsiaTheme="majorEastAsia" w:cstheme="majorEastAsia"/>
          <w:b/>
          <w:bCs/>
          <w:i w:val="0"/>
          <w:iCs w:val="0"/>
          <w:caps w:val="0"/>
          <w:color w:val="auto"/>
          <w:spacing w:val="0"/>
          <w:sz w:val="48"/>
          <w:szCs w:val="48"/>
          <w:highlight w:val="none"/>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heme="majorEastAsia" w:hAnsiTheme="majorEastAsia" w:eastAsiaTheme="majorEastAsia" w:cstheme="majorEastAsia"/>
          <w:sz w:val="48"/>
          <w:szCs w:val="48"/>
          <w:highlight w:val="none"/>
          <w:shd w:val="clear" w:color="auto" w:fill="auto"/>
        </w:rPr>
      </w:pPr>
      <w:r>
        <w:rPr>
          <w:rFonts w:hint="eastAsia" w:asciiTheme="majorEastAsia" w:hAnsiTheme="majorEastAsia" w:eastAsiaTheme="majorEastAsia" w:cstheme="majorEastAsia"/>
          <w:b/>
          <w:bCs/>
          <w:i w:val="0"/>
          <w:iCs w:val="0"/>
          <w:caps w:val="0"/>
          <w:color w:val="auto"/>
          <w:spacing w:val="0"/>
          <w:sz w:val="48"/>
          <w:szCs w:val="48"/>
          <w:highlight w:val="none"/>
          <w:shd w:val="clear" w:color="auto" w:fill="auto"/>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ajorEastAsia" w:hAnsiTheme="majorEastAsia" w:eastAsiaTheme="majorEastAsia" w:cstheme="majorEastAsia"/>
          <w:sz w:val="32"/>
          <w:szCs w:val="32"/>
          <w:shd w:val="clear" w:color="auto" w:fill="auto"/>
        </w:rPr>
      </w:pPr>
      <w:r>
        <w:rPr>
          <w:rFonts w:hint="eastAsia" w:asciiTheme="majorEastAsia" w:hAnsiTheme="majorEastAsia" w:eastAsiaTheme="majorEastAsia" w:cstheme="majorEastAsia"/>
          <w:b/>
          <w:bCs/>
          <w:i w:val="0"/>
          <w:iCs w:val="0"/>
          <w:caps w:val="0"/>
          <w:color w:val="000000"/>
          <w:spacing w:val="0"/>
          <w:sz w:val="32"/>
          <w:szCs w:val="32"/>
          <w:shd w:val="clear" w:color="auto" w:fill="auto"/>
        </w:rPr>
        <w:t>第一部分岳阳市第九中学概况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ajorEastAsia" w:hAnsiTheme="majorEastAsia" w:eastAsiaTheme="majorEastAsia" w:cstheme="majorEastAsia"/>
          <w:sz w:val="32"/>
          <w:szCs w:val="32"/>
          <w:shd w:val="clear" w:color="auto" w:fill="auto"/>
        </w:rPr>
      </w:pPr>
      <w:r>
        <w:rPr>
          <w:rFonts w:hint="eastAsia" w:asciiTheme="majorEastAsia" w:hAnsiTheme="majorEastAsia" w:eastAsiaTheme="majorEastAsia" w:cstheme="majorEastAsia"/>
          <w:i w:val="0"/>
          <w:iCs w:val="0"/>
          <w:caps w:val="0"/>
          <w:color w:val="000000"/>
          <w:spacing w:val="0"/>
          <w:sz w:val="32"/>
          <w:szCs w:val="32"/>
          <w:shd w:val="clear" w:color="auto" w:fill="auto"/>
        </w:rPr>
        <w:t>一、部门职责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ajorEastAsia" w:hAnsiTheme="majorEastAsia" w:eastAsiaTheme="majorEastAsia" w:cstheme="majorEastAsia"/>
          <w:sz w:val="32"/>
          <w:szCs w:val="32"/>
          <w:shd w:val="clear" w:color="auto" w:fill="auto"/>
        </w:rPr>
      </w:pPr>
      <w:r>
        <w:rPr>
          <w:rFonts w:hint="eastAsia" w:asciiTheme="majorEastAsia" w:hAnsiTheme="majorEastAsia" w:eastAsiaTheme="majorEastAsia" w:cstheme="majorEastAsia"/>
          <w:i w:val="0"/>
          <w:iCs w:val="0"/>
          <w:caps w:val="0"/>
          <w:color w:val="000000"/>
          <w:spacing w:val="0"/>
          <w:sz w:val="32"/>
          <w:szCs w:val="32"/>
          <w:shd w:val="clear" w:color="auto" w:fill="auto"/>
        </w:rPr>
        <w:t>二、机构设置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ajorEastAsia" w:hAnsiTheme="majorEastAsia" w:eastAsiaTheme="majorEastAsia" w:cstheme="majorEastAsia"/>
          <w:sz w:val="32"/>
          <w:szCs w:val="32"/>
          <w:shd w:val="clear" w:color="auto" w:fill="auto"/>
        </w:rPr>
      </w:pPr>
      <w:r>
        <w:rPr>
          <w:rFonts w:hint="eastAsia" w:asciiTheme="majorEastAsia" w:hAnsiTheme="majorEastAsia" w:eastAsiaTheme="majorEastAsia" w:cstheme="majorEastAsia"/>
          <w:b/>
          <w:bCs/>
          <w:i w:val="0"/>
          <w:iCs w:val="0"/>
          <w:caps w:val="0"/>
          <w:color w:val="000000"/>
          <w:spacing w:val="0"/>
          <w:sz w:val="32"/>
          <w:szCs w:val="32"/>
          <w:shd w:val="clear" w:color="auto" w:fill="auto"/>
        </w:rPr>
        <w:t>第二部分2020年度部门决算表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一、收入支出决算总表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二、收入决算表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三、支出决算表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四、财政拨款收入支出决算总表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五、一般公共预算财政拨款支出决算表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六、一般公共预算财政拨款基本支出决算表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七、一般公共预算财政拨款“三公”经费支出决算表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八、政府性基金预算财政拨款收入支出决算表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九、国有资本经营预算财政拨款支出决算表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ajorEastAsia" w:hAnsiTheme="majorEastAsia" w:eastAsiaTheme="majorEastAsia" w:cstheme="majorEastAsia"/>
          <w:b/>
          <w:bCs/>
          <w:i w:val="0"/>
          <w:iCs w:val="0"/>
          <w:caps w:val="0"/>
          <w:color w:val="000000"/>
          <w:spacing w:val="0"/>
          <w:sz w:val="32"/>
          <w:szCs w:val="32"/>
          <w:shd w:val="clear" w:color="auto" w:fill="auto"/>
        </w:rPr>
      </w:pPr>
      <w:r>
        <w:rPr>
          <w:rFonts w:hint="eastAsia" w:asciiTheme="majorEastAsia" w:hAnsiTheme="majorEastAsia" w:eastAsiaTheme="majorEastAsia" w:cstheme="majorEastAsia"/>
          <w:b/>
          <w:bCs/>
          <w:i w:val="0"/>
          <w:iCs w:val="0"/>
          <w:caps w:val="0"/>
          <w:color w:val="000000"/>
          <w:spacing w:val="0"/>
          <w:sz w:val="32"/>
          <w:szCs w:val="32"/>
          <w:shd w:val="clear" w:color="auto" w:fill="auto"/>
        </w:rPr>
        <w:t>第三部分2020年度部门决算情况说明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sz w:val="32"/>
          <w:szCs w:val="32"/>
          <w:shd w:val="clear" w:color="auto" w:fill="auto"/>
        </w:rPr>
        <w:t>一、收入支出决算总体情况说明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二、收入决算情况说明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三、支出决算情况说明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四、财政拨款收入支出决算总体情况说明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五、一般公共预算财政拨款支出决算情况说明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六、一般公共预算财政拨款基本支出决算情况说明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七、一般公共预算财政拨款三公经费支出决算情况说明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八、政府性基金预算收入支出决算情况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  九、国有资本经营预算财政拨款支出决算情况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  十、关于机关运行经费支出说明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  十一、一般性支出情况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  十二、关于政府采购支出说明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  十三、关于国有资产占用情况说明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000000"/>
          <w:spacing w:val="0"/>
          <w:kern w:val="0"/>
          <w:sz w:val="32"/>
          <w:szCs w:val="32"/>
          <w:shd w:val="clear" w:color="auto" w:fill="auto"/>
          <w:lang w:val="en-US" w:eastAsia="zh-CN" w:bidi="ar"/>
        </w:rPr>
        <w:t>  十四、关于2020年度预算绩效情况的说明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ajorEastAsia" w:hAnsiTheme="majorEastAsia" w:eastAsiaTheme="majorEastAsia" w:cstheme="majorEastAsia"/>
          <w:b/>
          <w:bCs/>
          <w:i w:val="0"/>
          <w:iCs w:val="0"/>
          <w:caps w:val="0"/>
          <w:color w:val="000000"/>
          <w:spacing w:val="0"/>
          <w:sz w:val="32"/>
          <w:szCs w:val="32"/>
          <w:shd w:val="clear" w:color="auto" w:fill="auto"/>
        </w:rPr>
      </w:pPr>
      <w:r>
        <w:rPr>
          <w:rFonts w:hint="eastAsia" w:asciiTheme="majorEastAsia" w:hAnsiTheme="majorEastAsia" w:eastAsiaTheme="majorEastAsia" w:cstheme="majorEastAsia"/>
          <w:b/>
          <w:bCs/>
          <w:i w:val="0"/>
          <w:iCs w:val="0"/>
          <w:caps w:val="0"/>
          <w:color w:val="000000"/>
          <w:spacing w:val="0"/>
          <w:sz w:val="32"/>
          <w:szCs w:val="32"/>
          <w:shd w:val="clear" w:color="auto" w:fill="auto"/>
          <w:lang w:val="en-US" w:eastAsia="zh-CN"/>
        </w:rPr>
        <w:t>第四部分名词解释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ajorEastAsia" w:hAnsiTheme="majorEastAsia" w:eastAsiaTheme="majorEastAsia" w:cstheme="majorEastAsia"/>
          <w:b/>
          <w:bCs/>
          <w:i w:val="0"/>
          <w:iCs w:val="0"/>
          <w:caps w:val="0"/>
          <w:color w:val="000000"/>
          <w:spacing w:val="0"/>
          <w:sz w:val="32"/>
          <w:szCs w:val="32"/>
          <w:shd w:val="clear" w:color="auto" w:fill="auto"/>
          <w:lang w:val="en-US" w:eastAsia="zh-CN"/>
        </w:rPr>
      </w:pPr>
      <w:r>
        <w:rPr>
          <w:rFonts w:hint="eastAsia" w:asciiTheme="majorEastAsia" w:hAnsiTheme="majorEastAsia" w:eastAsiaTheme="majorEastAsia" w:cstheme="majorEastAsia"/>
          <w:b/>
          <w:bCs/>
          <w:i w:val="0"/>
          <w:iCs w:val="0"/>
          <w:caps w:val="0"/>
          <w:color w:val="000000"/>
          <w:spacing w:val="0"/>
          <w:sz w:val="32"/>
          <w:szCs w:val="32"/>
          <w:shd w:val="clear" w:color="auto" w:fill="auto"/>
          <w:lang w:val="en-US" w:eastAsia="zh-CN"/>
        </w:rPr>
        <w:t>第五部分附件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宋体" w:eastAsia="黑体" w:cs="黑体"/>
          <w:i w:val="0"/>
          <w:iCs w:val="0"/>
          <w:caps w:val="0"/>
          <w:color w:val="000000"/>
          <w:spacing w:val="0"/>
          <w:sz w:val="84"/>
          <w:szCs w:val="84"/>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黑体" w:hAnsi="宋体" w:eastAsia="黑体" w:cs="黑体"/>
          <w:i w:val="0"/>
          <w:iCs w:val="0"/>
          <w:caps w:val="0"/>
          <w:color w:val="000000"/>
          <w:spacing w:val="0"/>
          <w:sz w:val="84"/>
          <w:szCs w:val="84"/>
          <w:shd w:val="clear" w:color="auto" w:fill="auto"/>
        </w:rPr>
        <w:t>第一部分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黑体" w:hAnsi="宋体" w:eastAsia="黑体" w:cs="黑体"/>
          <w:i w:val="0"/>
          <w:iCs w:val="0"/>
          <w:caps w:val="0"/>
          <w:color w:val="000000"/>
          <w:spacing w:val="0"/>
          <w:sz w:val="84"/>
          <w:szCs w:val="84"/>
          <w:shd w:val="clear" w:color="auto" w:fil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黑体" w:hAnsi="宋体" w:eastAsia="黑体" w:cs="黑体"/>
          <w:i w:val="0"/>
          <w:iCs w:val="0"/>
          <w:caps w:val="0"/>
          <w:color w:val="000000"/>
          <w:spacing w:val="0"/>
          <w:sz w:val="84"/>
          <w:szCs w:val="84"/>
          <w:shd w:val="clear" w:color="auto" w:fill="auto"/>
        </w:rPr>
        <w:t>岳阳市第九中学概况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Calibri" w:hAnsi="Calibri" w:cs="Calibri" w:eastAsiaTheme="minorEastAsia"/>
          <w:i w:val="0"/>
          <w:iCs w:val="0"/>
          <w:caps w:val="0"/>
          <w:color w:val="555555"/>
          <w:spacing w:val="0"/>
          <w:kern w:val="0"/>
          <w:sz w:val="72"/>
          <w:szCs w:val="72"/>
          <w:shd w:val="clear" w:color="auto" w:fill="auto"/>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firstLine="0"/>
        <w:jc w:val="left"/>
        <w:rPr>
          <w:shd w:val="clear" w:color="auto" w:fill="auto"/>
        </w:rPr>
      </w:pPr>
      <w:r>
        <w:rPr>
          <w:rFonts w:hint="eastAsia" w:ascii="黑体" w:hAnsi="宋体" w:eastAsia="黑体" w:cs="黑体"/>
          <w:i w:val="0"/>
          <w:iCs w:val="0"/>
          <w:caps w:val="0"/>
          <w:color w:val="555555"/>
          <w:spacing w:val="0"/>
          <w:sz w:val="32"/>
          <w:szCs w:val="32"/>
          <w:shd w:val="clear" w:color="auto" w:fil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firstLine="0"/>
        <w:jc w:val="left"/>
        <w:rPr>
          <w:shd w:val="clear" w:color="auto" w:fill="auto"/>
        </w:rPr>
      </w:pPr>
      <w:r>
        <w:rPr>
          <w:rFonts w:hint="eastAsia" w:ascii="黑体" w:hAnsi="宋体" w:eastAsia="黑体" w:cs="黑体"/>
          <w:i w:val="0"/>
          <w:iCs w:val="0"/>
          <w:caps w:val="0"/>
          <w:color w:val="555555"/>
          <w:spacing w:val="0"/>
          <w:sz w:val="32"/>
          <w:szCs w:val="32"/>
          <w:shd w:val="clear" w:color="auto" w:fil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firstLine="0"/>
        <w:jc w:val="left"/>
        <w:rPr>
          <w:shd w:val="clear" w:color="auto" w:fill="auto"/>
        </w:rPr>
      </w:pPr>
      <w:r>
        <w:rPr>
          <w:rFonts w:hint="eastAsia" w:ascii="黑体" w:hAnsi="宋体" w:eastAsia="黑体" w:cs="黑体"/>
          <w:i w:val="0"/>
          <w:iCs w:val="0"/>
          <w:caps w:val="0"/>
          <w:color w:val="555555"/>
          <w:spacing w:val="0"/>
          <w:sz w:val="32"/>
          <w:szCs w:val="32"/>
          <w:shd w:val="clear" w:color="auto" w:fil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720"/>
        <w:jc w:val="left"/>
        <w:rPr>
          <w:rFonts w:hint="eastAsia" w:asciiTheme="majorEastAsia" w:hAnsiTheme="majorEastAsia" w:eastAsiaTheme="majorEastAsia" w:cstheme="majorEastAsia"/>
          <w:sz w:val="32"/>
          <w:szCs w:val="32"/>
          <w:shd w:val="clear" w:color="auto" w:fill="auto"/>
        </w:rPr>
      </w:pPr>
      <w:r>
        <w:rPr>
          <w:rFonts w:hint="eastAsia" w:asciiTheme="majorEastAsia" w:hAnsiTheme="majorEastAsia" w:eastAsiaTheme="majorEastAsia" w:cstheme="majorEastAsia"/>
          <w:i w:val="0"/>
          <w:iCs w:val="0"/>
          <w:caps w:val="0"/>
          <w:color w:val="555555"/>
          <w:spacing w:val="0"/>
          <w:sz w:val="32"/>
          <w:szCs w:val="32"/>
          <w:shd w:val="clear" w:color="auto" w:fill="auto"/>
        </w:rPr>
        <w:t>一、 部门职责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（一）岳阳市第九中学创建于2005年7月，学校现有63个教学班、3325名学生。有239名在编教职员工，其中特级教师3人，中、高级教师172人。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（二）学校主要从事初中学历教育，促进基础教育发展以及承办市委、市政府和市、区教育局交办的其他事项。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default" w:ascii="仿宋_GB2312" w:eastAsia="仿宋_GB2312" w:cs="仿宋_GB2312" w:hAnsiTheme="minorHAnsi"/>
          <w:i w:val="0"/>
          <w:iCs w:val="0"/>
          <w:caps w:val="0"/>
          <w:color w:val="555555"/>
          <w:spacing w:val="0"/>
          <w:kern w:val="0"/>
          <w:sz w:val="28"/>
          <w:szCs w:val="28"/>
          <w:shd w:val="clear" w:color="auto" w:fill="auto"/>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720"/>
        <w:jc w:val="left"/>
        <w:rPr>
          <w:rFonts w:hint="eastAsia" w:asciiTheme="majorEastAsia" w:hAnsiTheme="majorEastAsia" w:eastAsiaTheme="majorEastAsia" w:cstheme="majorEastAsia"/>
          <w:i w:val="0"/>
          <w:iCs w:val="0"/>
          <w:caps w:val="0"/>
          <w:color w:val="555555"/>
          <w:spacing w:val="0"/>
          <w:sz w:val="32"/>
          <w:szCs w:val="32"/>
          <w:shd w:val="clear" w:color="auto" w:fill="auto"/>
        </w:rPr>
      </w:pPr>
      <w:r>
        <w:rPr>
          <w:rFonts w:hint="eastAsia" w:asciiTheme="majorEastAsia" w:hAnsiTheme="majorEastAsia" w:eastAsiaTheme="majorEastAsia" w:cstheme="majorEastAsia"/>
          <w:i w:val="0"/>
          <w:iCs w:val="0"/>
          <w:caps w:val="0"/>
          <w:color w:val="555555"/>
          <w:spacing w:val="0"/>
          <w:sz w:val="32"/>
          <w:szCs w:val="32"/>
          <w:shd w:val="clear" w:color="auto" w:fill="auto"/>
          <w:lang w:val="en-US" w:eastAsia="zh-CN"/>
        </w:rPr>
        <w:t>二、机构设置及决算单位构成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firstLineChars="200"/>
        <w:jc w:val="left"/>
        <w:rPr>
          <w:sz w:val="32"/>
          <w:szCs w:val="32"/>
          <w:shd w:val="clear" w:color="auto" w:fill="auto"/>
        </w:rPr>
      </w:pPr>
      <w:r>
        <w:rPr>
          <w:rFonts w:hint="eastAsia" w:ascii="宋体" w:hAnsi="宋体" w:eastAsia="宋体" w:cs="宋体"/>
          <w:i w:val="0"/>
          <w:iCs w:val="0"/>
          <w:caps w:val="0"/>
          <w:color w:val="555555"/>
          <w:spacing w:val="0"/>
          <w:kern w:val="0"/>
          <w:sz w:val="32"/>
          <w:szCs w:val="32"/>
          <w:shd w:val="clear" w:color="auto" w:fill="auto"/>
          <w:lang w:val="en-US" w:eastAsia="zh-CN" w:bidi="ar"/>
        </w:rPr>
        <w:t>（一）内设机构设置。岳阳市第九中学现有组织机构1个，5个内设机构包括：办公室、教务处、教研处、后勤处、学生处。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960" w:firstLineChars="3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1.办公室负责行政协调、党务、宣传、人事、计生、工资福利及有关内部事务的管理；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960" w:firstLineChars="3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2.教务处负责学校教育教学常规管理，以及有关教育教学的场、馆、室和设备的管理；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960" w:firstLineChars="3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3.德育处负责学校德育工作、班主任工作管理和学生思想政治教育，抓好校园保卫和环保工作；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960" w:firstLineChars="3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4.教研处负责制定学校科研计划，指导教师开展教学科研和课题研究工作；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960" w:firstLineChars="300"/>
        <w:jc w:val="left"/>
        <w:rPr>
          <w:rFonts w:hint="eastAsia" w:asciiTheme="minorEastAsia" w:hAnsiTheme="minorEastAsia" w:eastAsiaTheme="minorEastAsia" w:cstheme="minorEastAsia"/>
          <w:sz w:val="32"/>
          <w:szCs w:val="32"/>
          <w:shd w:val="clear" w:color="auto" w:fill="auto"/>
        </w:rPr>
      </w:pPr>
      <w:r>
        <w:rPr>
          <w:rFonts w:hint="eastAsia" w:asciiTheme="minorEastAsia" w:hAnsiTheme="minorEastAsia" w:eastAsiaTheme="minorEastAsia" w:cstheme="minorEastAsia"/>
          <w:i w:val="0"/>
          <w:iCs w:val="0"/>
          <w:caps w:val="0"/>
          <w:color w:val="555555"/>
          <w:spacing w:val="0"/>
          <w:kern w:val="0"/>
          <w:sz w:val="32"/>
          <w:szCs w:val="32"/>
          <w:shd w:val="clear" w:color="auto" w:fill="auto"/>
          <w:lang w:val="en-US" w:eastAsia="zh-CN" w:bidi="ar"/>
        </w:rPr>
        <w:t>5.后勤处负责学校后勤事务、财务、物业管理，优化校园建设，指导后勤服务中心开展工作，发展校园经济。后勤教学部负责后勤，教学。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left"/>
        <w:rPr>
          <w:sz w:val="32"/>
          <w:szCs w:val="32"/>
          <w:shd w:val="clear" w:color="auto" w:fill="auto"/>
        </w:rPr>
      </w:pPr>
      <w:r>
        <w:rPr>
          <w:rFonts w:hint="eastAsia" w:ascii="宋体" w:hAnsi="宋体" w:eastAsia="宋体" w:cs="宋体"/>
          <w:i w:val="0"/>
          <w:iCs w:val="0"/>
          <w:caps w:val="0"/>
          <w:color w:val="555555"/>
          <w:spacing w:val="0"/>
          <w:kern w:val="0"/>
          <w:sz w:val="32"/>
          <w:szCs w:val="32"/>
          <w:shd w:val="clear" w:color="auto" w:fill="auto"/>
          <w:lang w:val="en-US" w:eastAsia="zh-CN" w:bidi="ar"/>
        </w:rPr>
        <w:t>（二）决算单位构成。岳阳市第九中学2020年部门决算公开单位构成包括：岳阳市第九中学本级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default" w:ascii="仿宋_GB2312" w:eastAsia="仿宋_GB2312" w:cs="仿宋_GB2312" w:hAnsiTheme="minorHAnsi"/>
          <w:i w:val="0"/>
          <w:iCs w:val="0"/>
          <w:caps w:val="0"/>
          <w:color w:val="555555"/>
          <w:spacing w:val="0"/>
          <w:kern w:val="0"/>
          <w:sz w:val="32"/>
          <w:szCs w:val="32"/>
          <w:shd w:val="clear" w:fill="FFF9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hint="eastAsia" w:ascii="黑体" w:hAnsi="宋体" w:eastAsia="黑体" w:cs="黑体"/>
          <w:i w:val="0"/>
          <w:iCs w:val="0"/>
          <w:caps w:val="0"/>
          <w:color w:val="555555"/>
          <w:spacing w:val="0"/>
          <w:kern w:val="0"/>
          <w:sz w:val="32"/>
          <w:szCs w:val="32"/>
          <w:shd w:val="clear" w:fill="FFF9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555555"/>
          <w:spacing w:val="0"/>
          <w:kern w:val="0"/>
          <w:sz w:val="28"/>
          <w:szCs w:val="28"/>
          <w:shd w:val="clear" w:fill="FFF9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555555"/>
          <w:spacing w:val="0"/>
          <w:kern w:val="0"/>
          <w:sz w:val="28"/>
          <w:szCs w:val="28"/>
          <w:shd w:val="clear" w:fill="FFF9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555555"/>
          <w:spacing w:val="0"/>
          <w:kern w:val="0"/>
          <w:sz w:val="28"/>
          <w:szCs w:val="28"/>
          <w:shd w:val="clear" w:fill="FFF9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555555"/>
          <w:spacing w:val="0"/>
          <w:kern w:val="0"/>
          <w:sz w:val="28"/>
          <w:szCs w:val="28"/>
          <w:shd w:val="clear" w:fill="FFF9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cs="Calibri" w:eastAsiaTheme="minorEastAsia"/>
          <w:i w:val="0"/>
          <w:iCs w:val="0"/>
          <w:caps w:val="0"/>
          <w:color w:val="555555"/>
          <w:spacing w:val="0"/>
          <w:kern w:val="0"/>
          <w:sz w:val="72"/>
          <w:szCs w:val="72"/>
          <w:shd w:val="clear" w:fill="FFF9E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72"/>
          <w:szCs w:val="72"/>
        </w:rPr>
      </w:pPr>
      <w:r>
        <w:rPr>
          <w:rFonts w:hint="default" w:ascii="Calibri" w:hAnsi="Calibri" w:cs="Calibri" w:eastAsiaTheme="minorEastAsia"/>
          <w:i w:val="0"/>
          <w:iCs w:val="0"/>
          <w:caps w:val="0"/>
          <w:color w:val="555555"/>
          <w:spacing w:val="0"/>
          <w:kern w:val="0"/>
          <w:sz w:val="72"/>
          <w:szCs w:val="72"/>
          <w:shd w:val="clear" w:fill="FFF9EF"/>
          <w:lang w:val="en-US" w:eastAsia="zh-CN" w:bidi="ar"/>
        </w:rPr>
        <w:t> </w:t>
      </w:r>
      <w:r>
        <w:rPr>
          <w:rFonts w:hint="eastAsia" w:ascii="黑体" w:hAnsi="黑体" w:eastAsia="黑体" w:cs="黑体"/>
          <w:sz w:val="72"/>
          <w:szCs w:val="72"/>
        </w:rPr>
        <w:t>第二部分</w:t>
      </w:r>
    </w:p>
    <w:p>
      <w:pPr>
        <w:jc w:val="center"/>
        <w:rPr>
          <w:rFonts w:hint="eastAsia" w:ascii="黑体" w:hAnsi="黑体" w:eastAsia="黑体" w:cs="黑体"/>
          <w:sz w:val="72"/>
          <w:szCs w:val="72"/>
        </w:rPr>
      </w:pPr>
    </w:p>
    <w:p>
      <w:pPr>
        <w:jc w:val="center"/>
        <w:rPr>
          <w:sz w:val="72"/>
          <w:szCs w:val="72"/>
        </w:rPr>
      </w:pPr>
      <w:r>
        <w:rPr>
          <w:rFonts w:hint="eastAsia" w:ascii="黑体" w:hAnsi="黑体" w:eastAsia="黑体" w:cs="黑体"/>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岳阳市第九中学</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3782.01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1.89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3121.68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八、</w:t>
            </w:r>
            <w:r>
              <w:rPr>
                <w:rFonts w:hint="eastAsia" w:ascii="宋体" w:hAnsi="宋体" w:eastAsia="宋体" w:cs="宋体"/>
                <w:kern w:val="0"/>
                <w:sz w:val="22"/>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319.72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214.66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十九、住房保障支出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val="0"/>
                <w:bCs w:val="0"/>
                <w:kern w:val="0"/>
                <w:sz w:val="22"/>
                <w:lang w:val="en-US" w:eastAsia="zh-CN"/>
              </w:rPr>
              <w:t>227.10</w:t>
            </w:r>
          </w:p>
        </w:tc>
      </w:tr>
      <w:tr>
        <w:tblPrEx>
          <w:tblCellMar>
            <w:top w:w="0" w:type="dxa"/>
            <w:left w:w="108" w:type="dxa"/>
            <w:bottom w:w="0" w:type="dxa"/>
            <w:right w:w="108" w:type="dxa"/>
          </w:tblCellMar>
        </w:tblPrEx>
        <w:trPr>
          <w:trHeight w:val="219"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3783.90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3883.16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200.37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101.11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3984.27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　3984.27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both"/>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550" w:type="dxa"/>
        <w:tblInd w:w="0" w:type="dxa"/>
        <w:shd w:val="clear" w:color="auto" w:fill="auto"/>
        <w:tblLayout w:type="autofit"/>
        <w:tblCellMar>
          <w:top w:w="0" w:type="dxa"/>
          <w:left w:w="0" w:type="dxa"/>
          <w:bottom w:w="0" w:type="dxa"/>
          <w:right w:w="0" w:type="dxa"/>
        </w:tblCellMar>
      </w:tblPr>
      <w:tblGrid>
        <w:gridCol w:w="2030"/>
        <w:gridCol w:w="3770"/>
        <w:gridCol w:w="1800"/>
        <w:gridCol w:w="1800"/>
        <w:gridCol w:w="1081"/>
        <w:gridCol w:w="1389"/>
        <w:gridCol w:w="831"/>
        <w:gridCol w:w="819"/>
        <w:gridCol w:w="1030"/>
      </w:tblGrid>
      <w:tr>
        <w:tblPrEx>
          <w:tblCellMar>
            <w:top w:w="0" w:type="dxa"/>
            <w:left w:w="0" w:type="dxa"/>
            <w:bottom w:w="0" w:type="dxa"/>
            <w:right w:w="0" w:type="dxa"/>
          </w:tblCellMar>
        </w:tblPrEx>
        <w:trPr>
          <w:trHeight w:val="390" w:hRule="atLeast"/>
        </w:trPr>
        <w:tc>
          <w:tcPr>
            <w:tcW w:w="1455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shd w:val="clear" w:color="auto" w:fill="auto"/>
          <w:tblCellMar>
            <w:top w:w="0" w:type="dxa"/>
            <w:left w:w="0" w:type="dxa"/>
            <w:bottom w:w="0" w:type="dxa"/>
            <w:right w:w="0" w:type="dxa"/>
          </w:tblCellMar>
        </w:tblPrEx>
        <w:trPr>
          <w:trHeight w:val="46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46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部门：岳阳市第九中学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80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80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18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5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5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660" w:hRule="atLeast"/>
        </w:trPr>
        <w:tc>
          <w:tcPr>
            <w:tcW w:w="1275" w:type="dxa"/>
            <w:tcBorders>
              <w:top w:val="nil"/>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8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3,783.90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3,782.01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2,231.84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2,229.96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tbl>
      <w:tblPr>
        <w:tblStyle w:val="6"/>
        <w:tblW w:w="15521" w:type="dxa"/>
        <w:tblInd w:w="0" w:type="dxa"/>
        <w:shd w:val="clear" w:color="auto" w:fill="auto"/>
        <w:tblLayout w:type="autofit"/>
        <w:tblCellMar>
          <w:top w:w="0" w:type="dxa"/>
          <w:left w:w="0" w:type="dxa"/>
          <w:bottom w:w="0" w:type="dxa"/>
          <w:right w:w="0" w:type="dxa"/>
        </w:tblCellMar>
      </w:tblPr>
      <w:tblGrid>
        <w:gridCol w:w="2009"/>
        <w:gridCol w:w="1586"/>
        <w:gridCol w:w="436"/>
        <w:gridCol w:w="1078"/>
        <w:gridCol w:w="496"/>
        <w:gridCol w:w="293"/>
        <w:gridCol w:w="1781"/>
        <w:gridCol w:w="841"/>
        <w:gridCol w:w="632"/>
        <w:gridCol w:w="308"/>
        <w:gridCol w:w="127"/>
        <w:gridCol w:w="1573"/>
        <w:gridCol w:w="81"/>
        <w:gridCol w:w="1313"/>
        <w:gridCol w:w="216"/>
        <w:gridCol w:w="1178"/>
        <w:gridCol w:w="321"/>
        <w:gridCol w:w="1159"/>
        <w:gridCol w:w="93"/>
      </w:tblGrid>
      <w:tr>
        <w:tblPrEx>
          <w:tblCellMar>
            <w:top w:w="0" w:type="dxa"/>
            <w:left w:w="0" w:type="dxa"/>
            <w:bottom w:w="0" w:type="dxa"/>
            <w:right w:w="0" w:type="dxa"/>
          </w:tblCellMar>
        </w:tblPrEx>
        <w:trPr>
          <w:gridAfter w:val="1"/>
          <w:wAfter w:w="93" w:type="dxa"/>
          <w:trHeight w:val="390" w:hRule="atLeast"/>
        </w:trPr>
        <w:tc>
          <w:tcPr>
            <w:tcW w:w="200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889" w:type="dxa"/>
            <w:gridSpan w:val="5"/>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c>
          <w:tcPr>
            <w:tcW w:w="178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2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gridAfter w:val="1"/>
          <w:wAfter w:w="93" w:type="dxa"/>
          <w:trHeight w:val="255" w:hRule="atLeast"/>
        </w:trPr>
        <w:tc>
          <w:tcPr>
            <w:tcW w:w="20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89" w:type="dxa"/>
            <w:gridSpan w:val="5"/>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2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gridAfter w:val="1"/>
          <w:wAfter w:w="93" w:type="dxa"/>
          <w:trHeight w:val="255" w:hRule="atLeast"/>
        </w:trPr>
        <w:tc>
          <w:tcPr>
            <w:tcW w:w="20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部门：岳阳市第九中学</w:t>
            </w:r>
          </w:p>
        </w:tc>
        <w:tc>
          <w:tcPr>
            <w:tcW w:w="3889" w:type="dxa"/>
            <w:gridSpan w:val="5"/>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2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gridAfter w:val="1"/>
          <w:wAfter w:w="93" w:type="dxa"/>
          <w:trHeight w:val="540" w:hRule="atLeast"/>
        </w:trPr>
        <w:tc>
          <w:tcPr>
            <w:tcW w:w="589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781"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781" w:type="dxa"/>
            <w:gridSpan w:val="3"/>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81" w:type="dxa"/>
            <w:gridSpan w:val="3"/>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529"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499"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59"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gridAfter w:val="1"/>
          <w:wAfter w:w="93" w:type="dxa"/>
          <w:trHeight w:val="640" w:hRule="atLeast"/>
        </w:trPr>
        <w:tc>
          <w:tcPr>
            <w:tcW w:w="2009"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科目编码</w:t>
            </w:r>
          </w:p>
        </w:tc>
        <w:tc>
          <w:tcPr>
            <w:tcW w:w="3889" w:type="dxa"/>
            <w:gridSpan w:val="5"/>
            <w:tcBorders>
              <w:top w:val="nil"/>
              <w:left w:val="nil"/>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81"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1" w:type="dxa"/>
            <w:gridSpan w:val="3"/>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1" w:type="dxa"/>
            <w:gridSpan w:val="3"/>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29"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99"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9"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93" w:type="dxa"/>
          <w:trHeight w:val="308" w:hRule="atLeast"/>
        </w:trPr>
        <w:tc>
          <w:tcPr>
            <w:tcW w:w="589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8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81"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81"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29"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99"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gridAfter w:val="1"/>
          <w:wAfter w:w="93" w:type="dxa"/>
          <w:trHeight w:val="308" w:hRule="atLeast"/>
        </w:trPr>
        <w:tc>
          <w:tcPr>
            <w:tcW w:w="589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7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3,883.16</w:t>
            </w:r>
          </w:p>
        </w:tc>
        <w:tc>
          <w:tcPr>
            <w:tcW w:w="17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3,645.84</w:t>
            </w:r>
          </w:p>
        </w:tc>
        <w:tc>
          <w:tcPr>
            <w:tcW w:w="178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237.32</w:t>
            </w:r>
          </w:p>
        </w:tc>
        <w:tc>
          <w:tcPr>
            <w:tcW w:w="152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3,121.68</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2,891.42</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230.26</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2,331.11</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2,131.85</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199.26</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2050203</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2,142.85</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2,131.85</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188.26</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759.57</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759.57</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319.72</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312.66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74.44</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74.44</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2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178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gridAfter w:val="1"/>
          <w:wAfter w:w="93" w:type="dxa"/>
          <w:trHeight w:val="308" w:hRule="atLeast"/>
        </w:trPr>
        <w:tc>
          <w:tcPr>
            <w:tcW w:w="15428"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注：本表反映部门本年度取得的各项支出情况。</w:t>
            </w:r>
          </w:p>
        </w:tc>
      </w:tr>
      <w:tr>
        <w:tblPrEx>
          <w:shd w:val="clear" w:color="auto" w:fill="auto"/>
          <w:tblCellMar>
            <w:top w:w="0" w:type="dxa"/>
            <w:left w:w="108" w:type="dxa"/>
            <w:bottom w:w="0" w:type="dxa"/>
            <w:right w:w="108" w:type="dxa"/>
          </w:tblCellMar>
        </w:tblPrEx>
        <w:trPr>
          <w:trHeight w:val="285" w:hRule="atLeast"/>
        </w:trPr>
        <w:tc>
          <w:tcPr>
            <w:tcW w:w="3595" w:type="dxa"/>
            <w:gridSpan w:val="2"/>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shd w:val="clear" w:color="auto" w:fill="auto"/>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shd w:val="clear" w:color="auto" w:fill="auto"/>
          <w:tblCellMar>
            <w:top w:w="0" w:type="dxa"/>
            <w:left w:w="108" w:type="dxa"/>
            <w:bottom w:w="0" w:type="dxa"/>
            <w:right w:w="108" w:type="dxa"/>
          </w:tblCellMar>
        </w:tblPrEx>
        <w:trPr>
          <w:trHeight w:val="199" w:hRule="atLeast"/>
        </w:trPr>
        <w:tc>
          <w:tcPr>
            <w:tcW w:w="35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shd w:val="clear" w:color="auto" w:fill="auto"/>
          <w:tblCellMar>
            <w:top w:w="0" w:type="dxa"/>
            <w:left w:w="108" w:type="dxa"/>
            <w:bottom w:w="0" w:type="dxa"/>
            <w:right w:w="108" w:type="dxa"/>
          </w:tblCellMar>
        </w:tblPrEx>
        <w:trPr>
          <w:trHeight w:val="300" w:hRule="atLeast"/>
        </w:trPr>
        <w:tc>
          <w:tcPr>
            <w:tcW w:w="3595"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shd w:val="clear" w:color="auto" w:fill="auto"/>
          <w:tblCellMar>
            <w:top w:w="0" w:type="dxa"/>
            <w:left w:w="108" w:type="dxa"/>
            <w:bottom w:w="0" w:type="dxa"/>
            <w:right w:w="108" w:type="dxa"/>
          </w:tblCellMar>
        </w:tblPrEx>
        <w:trPr>
          <w:trHeight w:val="402" w:hRule="atLeast"/>
        </w:trPr>
        <w:tc>
          <w:tcPr>
            <w:tcW w:w="510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shd w:val="clear" w:color="auto" w:fill="auto"/>
          <w:tblCellMar>
            <w:top w:w="0" w:type="dxa"/>
            <w:left w:w="108" w:type="dxa"/>
            <w:bottom w:w="0" w:type="dxa"/>
            <w:right w:w="108" w:type="dxa"/>
          </w:tblCellMar>
        </w:tblPrEx>
        <w:trPr>
          <w:trHeight w:val="630"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3782.01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3119.79</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3119.79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w:t>
            </w:r>
            <w:r>
              <w:rPr>
                <w:rFonts w:hint="eastAsia" w:ascii="宋体" w:hAnsi="宋体" w:eastAsia="宋体" w:cs="宋体"/>
                <w:kern w:val="0"/>
                <w:sz w:val="22"/>
              </w:rPr>
              <w:t>、</w:t>
            </w:r>
            <w:r>
              <w:rPr>
                <w:rFonts w:hint="eastAsia" w:ascii="宋体" w:hAnsi="宋体" w:eastAsia="宋体" w:cs="宋体"/>
                <w:kern w:val="0"/>
                <w:sz w:val="22"/>
                <w:lang w:eastAsia="zh-CN"/>
              </w:rPr>
              <w:t>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319.72</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319.72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214.66</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214.66</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lang w:eastAsia="zh-CN"/>
              </w:rPr>
            </w:pPr>
            <w:r>
              <w:rPr>
                <w:rFonts w:hint="eastAsia" w:ascii="宋体" w:hAnsi="宋体" w:eastAsia="宋体" w:cs="宋体"/>
                <w:kern w:val="0"/>
                <w:sz w:val="22"/>
                <w:lang w:eastAsia="zh-CN"/>
              </w:rPr>
              <w:t>十九、住房保障支出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227.10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227.10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shd w:val="clear" w:color="auto" w:fill="auto"/>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3782.01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3881.27</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3881.27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shd w:val="clear" w:color="auto" w:fill="auto"/>
          <w:tblCellMar>
            <w:top w:w="0" w:type="dxa"/>
            <w:left w:w="108" w:type="dxa"/>
            <w:bottom w:w="0" w:type="dxa"/>
            <w:right w:w="108" w:type="dxa"/>
          </w:tblCellMar>
        </w:tblPrEx>
        <w:trPr>
          <w:trHeight w:val="387"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200.37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101.11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101.11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200.37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3982.38　</w:t>
            </w:r>
          </w:p>
        </w:tc>
        <w:tc>
          <w:tcPr>
            <w:tcW w:w="341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3982.38</w:t>
            </w:r>
          </w:p>
        </w:tc>
        <w:tc>
          <w:tcPr>
            <w:tcW w:w="139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3982.38</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bookmarkEnd w:id="1"/>
    <w:tbl>
      <w:tblPr>
        <w:tblStyle w:val="6"/>
        <w:tblW w:w="15526" w:type="dxa"/>
        <w:tblInd w:w="0" w:type="dxa"/>
        <w:shd w:val="clear" w:color="auto" w:fill="auto"/>
        <w:tblLayout w:type="fixed"/>
        <w:tblCellMar>
          <w:top w:w="0" w:type="dxa"/>
          <w:left w:w="0" w:type="dxa"/>
          <w:bottom w:w="0" w:type="dxa"/>
          <w:right w:w="0" w:type="dxa"/>
        </w:tblCellMar>
      </w:tblPr>
      <w:tblGrid>
        <w:gridCol w:w="2540"/>
        <w:gridCol w:w="4329"/>
        <w:gridCol w:w="2657"/>
        <w:gridCol w:w="3000"/>
        <w:gridCol w:w="3000"/>
      </w:tblGrid>
      <w:tr>
        <w:tblPrEx>
          <w:tblCellMar>
            <w:top w:w="0" w:type="dxa"/>
            <w:left w:w="0" w:type="dxa"/>
            <w:bottom w:w="0" w:type="dxa"/>
            <w:right w:w="0" w:type="dxa"/>
          </w:tblCellMar>
        </w:tblPrEx>
        <w:trPr>
          <w:trHeight w:val="690" w:hRule="atLeast"/>
        </w:trPr>
        <w:tc>
          <w:tcPr>
            <w:tcW w:w="15526"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254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3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5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trPr>
        <w:tc>
          <w:tcPr>
            <w:tcW w:w="254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部门：岳阳市第九中学</w:t>
            </w:r>
          </w:p>
        </w:tc>
        <w:tc>
          <w:tcPr>
            <w:tcW w:w="43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5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308" w:hRule="atLeast"/>
        </w:trPr>
        <w:tc>
          <w:tcPr>
            <w:tcW w:w="686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657" w:type="dxa"/>
            <w:gridSpan w:val="3"/>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254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科目编码</w:t>
            </w:r>
          </w:p>
        </w:tc>
        <w:tc>
          <w:tcPr>
            <w:tcW w:w="432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657"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000"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000" w:type="dxa"/>
            <w:vMerge w:val="restart"/>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8" w:hRule="atLeast"/>
        </w:trPr>
        <w:tc>
          <w:tcPr>
            <w:tcW w:w="25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57"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0"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0"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trPr>
        <w:tc>
          <w:tcPr>
            <w:tcW w:w="25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57"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0"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0" w:type="dxa"/>
            <w:vMerge w:val="continue"/>
            <w:tcBorders>
              <w:top w:val="nil"/>
              <w:left w:val="nil"/>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86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657" w:type="dxa"/>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00" w:type="dxa"/>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00" w:type="dxa"/>
            <w:tcBorders>
              <w:top w:val="nil"/>
              <w:left w:val="nil"/>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686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3,881.28</w:t>
            </w:r>
          </w:p>
        </w:tc>
        <w:tc>
          <w:tcPr>
            <w:tcW w:w="3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3,643.95</w:t>
            </w:r>
          </w:p>
        </w:tc>
        <w:tc>
          <w:tcPr>
            <w:tcW w:w="3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237.32</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3,119.79</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2,889.53</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230.26</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2,329.22</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199.26</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2050203</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2,140.96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188.26</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759.57</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790.57</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759.57</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319.72</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312.66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302.81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214.66</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74.44</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74.44</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6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552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tbl>
      <w:tblPr>
        <w:tblStyle w:val="6"/>
        <w:tblpPr w:leftFromText="180" w:rightFromText="180" w:vertAnchor="text" w:horzAnchor="page" w:tblpX="680" w:tblpY="100"/>
        <w:tblOverlap w:val="never"/>
        <w:tblW w:w="15418" w:type="dxa"/>
        <w:tblInd w:w="0" w:type="dxa"/>
        <w:shd w:val="clear" w:color="auto" w:fill="auto"/>
        <w:tblLayout w:type="fixed"/>
        <w:tblCellMar>
          <w:top w:w="0" w:type="dxa"/>
          <w:left w:w="0" w:type="dxa"/>
          <w:bottom w:w="0" w:type="dxa"/>
          <w:right w:w="0" w:type="dxa"/>
        </w:tblCellMar>
      </w:tblPr>
      <w:tblGrid>
        <w:gridCol w:w="1088"/>
        <w:gridCol w:w="3053"/>
        <w:gridCol w:w="1306"/>
        <w:gridCol w:w="1606"/>
        <w:gridCol w:w="2241"/>
        <w:gridCol w:w="1130"/>
        <w:gridCol w:w="1376"/>
        <w:gridCol w:w="2524"/>
        <w:gridCol w:w="1094"/>
      </w:tblGrid>
      <w:tr>
        <w:tblPrEx>
          <w:shd w:val="clear" w:color="auto" w:fill="auto"/>
          <w:tblCellMar>
            <w:top w:w="0" w:type="dxa"/>
            <w:left w:w="0" w:type="dxa"/>
            <w:bottom w:w="0" w:type="dxa"/>
            <w:right w:w="0" w:type="dxa"/>
          </w:tblCellMar>
        </w:tblPrEx>
        <w:trPr>
          <w:trHeight w:val="567" w:hRule="exact"/>
        </w:trPr>
        <w:tc>
          <w:tcPr>
            <w:tcW w:w="14324" w:type="dxa"/>
            <w:gridSpan w:val="8"/>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c>
          <w:tcPr>
            <w:tcW w:w="1094"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180" w:lineRule="exact"/>
              <w:rPr>
                <w:rFonts w:hint="eastAsia" w:ascii="Arial" w:hAnsi="Arial" w:cs="Arial"/>
                <w:i w:val="0"/>
                <w:color w:val="000000"/>
                <w:sz w:val="18"/>
                <w:szCs w:val="18"/>
                <w:u w:val="none"/>
              </w:rPr>
            </w:pP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3053"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306"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606"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2241"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130"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376"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2524"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094"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283" w:hRule="exact"/>
        </w:trPr>
        <w:tc>
          <w:tcPr>
            <w:tcW w:w="4141" w:type="dxa"/>
            <w:gridSpan w:val="2"/>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部门：岳阳市第九中学</w:t>
            </w:r>
          </w:p>
        </w:tc>
        <w:tc>
          <w:tcPr>
            <w:tcW w:w="1306"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606"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2241"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130"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376"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2524"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00" w:lineRule="exact"/>
              <w:rPr>
                <w:rFonts w:hint="default" w:ascii="Arial" w:hAnsi="Arial" w:cs="Arial"/>
                <w:i w:val="0"/>
                <w:color w:val="000000"/>
                <w:sz w:val="18"/>
                <w:szCs w:val="18"/>
                <w:u w:val="none"/>
              </w:rPr>
            </w:pPr>
          </w:p>
        </w:tc>
        <w:tc>
          <w:tcPr>
            <w:tcW w:w="1094" w:type="dxa"/>
            <w:tcBorders>
              <w:top w:val="nil"/>
              <w:left w:val="nil"/>
              <w:bottom w:val="nil"/>
              <w:right w:val="nil"/>
            </w:tcBorders>
            <w:shd w:val="clear" w:color="auto" w:fill="FFFFFF"/>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CellMar>
            <w:top w:w="0" w:type="dxa"/>
            <w:left w:w="0" w:type="dxa"/>
            <w:bottom w:w="0" w:type="dxa"/>
            <w:right w:w="0" w:type="dxa"/>
          </w:tblCellMar>
        </w:tblPrEx>
        <w:trPr>
          <w:trHeight w:val="312" w:hRule="exac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经济分类</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经济分类</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2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经济分类</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5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shd w:val="clear" w:color="auto" w:fill="auto"/>
          <w:tblCellMar>
            <w:top w:w="0" w:type="dxa"/>
            <w:left w:w="0" w:type="dxa"/>
            <w:bottom w:w="0" w:type="dxa"/>
            <w:right w:w="0" w:type="dxa"/>
          </w:tblCellMar>
        </w:tblPrEx>
        <w:trPr>
          <w:trHeight w:val="312" w:hRule="exac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25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3,472.42</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129.23</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965.56</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729.90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43.12</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528.71</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449.29</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74.88</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177.89</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74.44</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27.53</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372.44</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42.31</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11.73</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6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38.01</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赠与</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71.74</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84"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39999</w:t>
            </w: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30311</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w:t>
            </w: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3" w:hRule="exact"/>
        </w:trPr>
        <w:tc>
          <w:tcPr>
            <w:tcW w:w="108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30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18"/>
                <w:szCs w:val="18"/>
                <w:u w:val="none"/>
              </w:rPr>
            </w:pPr>
          </w:p>
        </w:tc>
        <w:tc>
          <w:tcPr>
            <w:tcW w:w="16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2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8.89</w:t>
            </w:r>
          </w:p>
        </w:tc>
        <w:tc>
          <w:tcPr>
            <w:tcW w:w="13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25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3" w:hRule="exact"/>
        </w:trPr>
        <w:tc>
          <w:tcPr>
            <w:tcW w:w="4141"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3,514.73</w:t>
            </w:r>
          </w:p>
        </w:tc>
        <w:tc>
          <w:tcPr>
            <w:tcW w:w="8877"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129.23</w:t>
            </w:r>
          </w:p>
        </w:tc>
      </w:tr>
      <w:tr>
        <w:tblPrEx>
          <w:tblCellMar>
            <w:top w:w="0" w:type="dxa"/>
            <w:left w:w="0" w:type="dxa"/>
            <w:bottom w:w="0" w:type="dxa"/>
            <w:right w:w="0" w:type="dxa"/>
          </w:tblCellMar>
        </w:tblPrEx>
        <w:trPr>
          <w:trHeight w:val="283" w:hRule="exact"/>
        </w:trPr>
        <w:tc>
          <w:tcPr>
            <w:tcW w:w="15418"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0.63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0.63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第九中学</w:t>
      </w:r>
      <w:r>
        <w:rPr>
          <w:rFonts w:ascii="Times New Roman" w:hAnsi="Times New Roman" w:eastAsia="仿宋_GB2312" w:cs="Times New Roman"/>
          <w:color w:val="000000"/>
          <w:kern w:val="0"/>
          <w:szCs w:val="21"/>
        </w:rPr>
        <w:t xml:space="preserve">                                                                                                           </w:t>
      </w:r>
    </w:p>
    <w:p>
      <w:pPr>
        <w:widowControl/>
        <w:wordWrap w:val="0"/>
        <w:jc w:val="righ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公开08表</w:t>
      </w:r>
    </w:p>
    <w:p>
      <w:pPr>
        <w:widowControl/>
        <w:wordWrap w:val="0"/>
        <w:jc w:val="righ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单位：万元</w:t>
      </w:r>
      <w:r>
        <w:rPr>
          <w:rFonts w:hint="eastAsia" w:ascii="Times New Roman" w:hAnsi="Times New Roman" w:eastAsia="仿宋_GB2312" w:cs="Times New Roman"/>
          <w:color w:val="000000"/>
          <w:kern w:val="0"/>
          <w:szCs w:val="21"/>
          <w:lang w:val="en-US" w:eastAsia="zh-CN"/>
        </w:rPr>
        <w:t xml:space="preserve">    </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p>
        </w:tc>
        <w:tc>
          <w:tcPr>
            <w:tcW w:w="132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highlight w:val="lightGray"/>
        </w:rPr>
      </w:pPr>
      <w:r>
        <w:rPr>
          <w:rFonts w:ascii="Times New Roman" w:hAnsi="Times New Roman" w:eastAsia="仿宋_GB2312" w:cs="Times New Roman"/>
          <w:kern w:val="0"/>
          <w:szCs w:val="21"/>
        </w:rPr>
        <w:t>注：本表反映部门本年度政府性基金预算财政拨款收入、支出及结转和结余情况</w:t>
      </w:r>
      <w:r>
        <w:rPr>
          <w:rFonts w:ascii="Times New Roman" w:hAnsi="Times New Roman" w:eastAsia="仿宋_GB2312" w:cs="Times New Roman"/>
          <w:kern w:val="0"/>
          <w:szCs w:val="21"/>
          <w:highlight w:val="lightGray"/>
        </w:rPr>
        <w:t>(</w:t>
      </w:r>
      <w:r>
        <w:rPr>
          <w:rFonts w:hint="eastAsia" w:ascii="Times New Roman" w:hAnsi="Times New Roman" w:eastAsia="仿宋_GB2312" w:cs="Times New Roman"/>
          <w:kern w:val="0"/>
          <w:szCs w:val="21"/>
          <w:highlight w:val="lightGray"/>
          <w:lang w:eastAsia="zh-CN"/>
        </w:rPr>
        <w:t>本</w:t>
      </w:r>
      <w:r>
        <w:rPr>
          <w:rFonts w:hint="eastAsia" w:ascii="Times New Roman" w:hAnsi="Times New Roman" w:eastAsia="仿宋_GB2312" w:cs="Times New Roman"/>
          <w:kern w:val="0"/>
          <w:szCs w:val="21"/>
          <w:highlight w:val="lightGray"/>
        </w:rPr>
        <w:t>单位没有政府性基金收入，也没有使用政府性基金安排的支出，故本表无数据。</w:t>
      </w:r>
      <w:r>
        <w:rPr>
          <w:rFonts w:ascii="Times New Roman" w:hAnsi="Times New Roman" w:eastAsia="仿宋_GB2312" w:cs="Times New Roman"/>
          <w:kern w:val="0"/>
          <w:szCs w:val="21"/>
          <w:highlight w:val="lightGray"/>
        </w:rPr>
        <w:t>)</w:t>
      </w:r>
    </w:p>
    <w:p>
      <w:pPr>
        <w:widowControl/>
        <w:jc w:val="left"/>
        <w:rPr>
          <w:rFonts w:ascii="黑体" w:hAnsi="黑体" w:eastAsia="黑体"/>
          <w:szCs w:val="21"/>
        </w:rPr>
      </w:pPr>
      <w:r>
        <w:rPr>
          <w:rFonts w:ascii="黑体" w:hAnsi="黑体" w:eastAsia="黑体"/>
          <w:szCs w:val="21"/>
        </w:rPr>
        <w:br w:type="page"/>
      </w:r>
    </w:p>
    <w:p>
      <w:pPr>
        <w:widowControl/>
        <w:jc w:val="left"/>
        <w:rPr>
          <w:rFonts w:ascii="Times New Roman" w:hAnsi="Times New Roman" w:eastAsia="仿宋_GB2312" w:cs="Times New Roman"/>
          <w:kern w:val="0"/>
          <w:szCs w:val="21"/>
        </w:rPr>
      </w:pP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single" w:color="auto" w:sz="4" w:space="0"/>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第九中学</w:t>
            </w:r>
          </w:p>
        </w:tc>
        <w:tc>
          <w:tcPr>
            <w:tcW w:w="560"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p>
        </w:tc>
        <w:tc>
          <w:tcPr>
            <w:tcW w:w="3215" w:type="dxa"/>
            <w:gridSpan w:val="2"/>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Times New Roman" w:hAnsi="Times New Roman" w:eastAsia="仿宋_GB2312" w:cs="Times New Roman"/>
                <w:color w:val="000000"/>
                <w:kern w:val="0"/>
                <w:szCs w:val="21"/>
                <w:lang w:val="en-US" w:eastAsia="zh-CN"/>
              </w:rPr>
              <w:t xml:space="preserve">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rPr>
          <w:trHeight w:val="297"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highlight w:val="lightGray"/>
              </w:rPr>
            </w:pPr>
            <w:r>
              <w:rPr>
                <w:rFonts w:hint="eastAsia" w:ascii="宋体" w:hAnsi="宋体" w:eastAsia="宋体" w:cs="宋体"/>
                <w:kern w:val="0"/>
                <w:sz w:val="24"/>
                <w:szCs w:val="24"/>
              </w:rPr>
              <w:t>注：本表反映部门本年度国有资本经营预算财政拨款支出情况。</w:t>
            </w:r>
            <w:r>
              <w:rPr>
                <w:rFonts w:ascii="Times New Roman" w:hAnsi="Times New Roman" w:eastAsia="仿宋_GB2312" w:cs="Times New Roman"/>
                <w:kern w:val="0"/>
                <w:szCs w:val="21"/>
                <w:highlight w:val="lightGray"/>
              </w:rPr>
              <w:t>(</w:t>
            </w:r>
            <w:r>
              <w:rPr>
                <w:rFonts w:hint="eastAsia" w:ascii="Times New Roman" w:hAnsi="Times New Roman" w:eastAsia="仿宋_GB2312" w:cs="Times New Roman"/>
                <w:kern w:val="0"/>
                <w:szCs w:val="21"/>
                <w:highlight w:val="lightGray"/>
                <w:lang w:eastAsia="zh-CN"/>
              </w:rPr>
              <w:t>本</w:t>
            </w:r>
            <w:r>
              <w:rPr>
                <w:rFonts w:hint="eastAsia" w:ascii="Times New Roman" w:hAnsi="Times New Roman" w:eastAsia="仿宋_GB2312" w:cs="Times New Roman"/>
                <w:kern w:val="0"/>
                <w:szCs w:val="21"/>
                <w:highlight w:val="lightGray"/>
              </w:rPr>
              <w:t>单位</w:t>
            </w:r>
            <w:r>
              <w:rPr>
                <w:rFonts w:ascii="Times New Roman" w:hAnsi="Times New Roman" w:eastAsia="仿宋_GB2312" w:cs="Times New Roman"/>
                <w:kern w:val="0"/>
                <w:szCs w:val="21"/>
                <w:highlight w:val="lightGray"/>
              </w:rPr>
              <w:t>没有使用国有资本经营预算安排的支出，故本表无数据</w:t>
            </w:r>
            <w:r>
              <w:rPr>
                <w:rFonts w:hint="eastAsia" w:ascii="Times New Roman" w:hAnsi="Times New Roman" w:eastAsia="仿宋_GB2312" w:cs="Times New Roman"/>
                <w:kern w:val="0"/>
                <w:szCs w:val="21"/>
                <w:highlight w:val="lightGray"/>
              </w:rPr>
              <w:t>。</w:t>
            </w:r>
            <w:r>
              <w:rPr>
                <w:rFonts w:ascii="Times New Roman" w:hAnsi="Times New Roman" w:eastAsia="仿宋_GB2312" w:cs="Times New Roman"/>
                <w:kern w:val="0"/>
                <w:szCs w:val="21"/>
                <w:highlight w:val="lightGray"/>
              </w:rPr>
              <w:t>)</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总计</w:t>
      </w:r>
      <w:r>
        <w:rPr>
          <w:rFonts w:hint="eastAsia" w:asciiTheme="minorEastAsia" w:hAnsiTheme="minorEastAsia" w:eastAsiaTheme="minorEastAsia"/>
          <w:sz w:val="32"/>
          <w:szCs w:val="32"/>
          <w:lang w:val="en-US" w:eastAsia="zh-CN"/>
        </w:rPr>
        <w:t>3984.27万元,</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lang w:val="en-US" w:eastAsia="zh-CN"/>
        </w:rPr>
        <w:t>3872.24万元</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112.03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2.89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年终绩效增加和工资普调。</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二、收入决算情况说明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3783.90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3782.01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99.95</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1.89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三、支出决算情况说明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3883.16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3645.84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93.89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237.32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3982.38</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3872.24万元</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110.14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年终绩效增加和工资普调。</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五、一般公共预算财政拨款支出决算情况说明</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（一）财政拨款支出决算总体情况</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3881.28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97.46</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3647.69万元</w:t>
      </w:r>
      <w:r>
        <w:rPr>
          <w:rFonts w:hint="eastAsia" w:asciiTheme="minorEastAsia" w:hAnsiTheme="minorEastAsia" w:eastAsiaTheme="minorEastAsia"/>
          <w:sz w:val="32"/>
          <w:szCs w:val="32"/>
        </w:rPr>
        <w:t>相比，财政拨款支出增加</w:t>
      </w:r>
      <w:r>
        <w:rPr>
          <w:rFonts w:hint="eastAsia" w:asciiTheme="minorEastAsia" w:hAnsiTheme="minorEastAsia" w:eastAsiaTheme="minorEastAsia"/>
          <w:sz w:val="32"/>
          <w:szCs w:val="32"/>
          <w:lang w:val="en-US" w:eastAsia="zh-CN"/>
        </w:rPr>
        <w:t>233.59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6.40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年终绩效奖和综治奖的增加，基本工资调标，社保增加。</w:t>
      </w:r>
      <w:r>
        <w:rPr>
          <w:rFonts w:hint="eastAsia" w:asciiTheme="minorEastAsia" w:hAnsiTheme="minorEastAsia" w:eastAsiaTheme="minorEastAsia"/>
          <w:sz w:val="32"/>
          <w:szCs w:val="32"/>
          <w:lang w:val="en-US" w:eastAsia="zh-CN"/>
        </w:rPr>
        <w:tab/>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3881.28</w:t>
      </w:r>
      <w:r>
        <w:rPr>
          <w:rFonts w:hint="eastAsia" w:asciiTheme="minorEastAsia" w:hAnsiTheme="minorEastAsia" w:eastAsiaTheme="minorEastAsia"/>
          <w:sz w:val="32"/>
          <w:szCs w:val="32"/>
        </w:rPr>
        <w:t>万元，主要用于以下方面：教育支出</w:t>
      </w:r>
      <w:r>
        <w:rPr>
          <w:rFonts w:hint="eastAsia" w:asciiTheme="minorEastAsia" w:hAnsiTheme="minorEastAsia" w:eastAsiaTheme="minorEastAsia"/>
          <w:sz w:val="32"/>
          <w:szCs w:val="32"/>
          <w:lang w:val="en-US" w:eastAsia="zh-CN"/>
        </w:rPr>
        <w:t>3119.79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80.38</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319.72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8.24</w:t>
      </w:r>
      <w:r>
        <w:rPr>
          <w:rFonts w:hint="eastAsia" w:asciiTheme="minorEastAsia" w:hAnsiTheme="minorEastAsia" w:eastAsiaTheme="minorEastAsia"/>
          <w:sz w:val="32"/>
          <w:szCs w:val="32"/>
        </w:rPr>
        <w:t>%；卫生健康开支</w:t>
      </w:r>
      <w:r>
        <w:rPr>
          <w:rFonts w:hint="eastAsia" w:asciiTheme="minorEastAsia" w:hAnsiTheme="minorEastAsia" w:eastAsiaTheme="minorEastAsia"/>
          <w:sz w:val="32"/>
          <w:szCs w:val="32"/>
          <w:lang w:val="en-US" w:eastAsia="zh-CN"/>
        </w:rPr>
        <w:t>214.66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5.53</w:t>
      </w:r>
      <w:r>
        <w:rPr>
          <w:rFonts w:hint="eastAsia" w:asciiTheme="minorEastAsia" w:hAnsiTheme="minorEastAsia" w:eastAsiaTheme="minorEastAsia"/>
          <w:sz w:val="32"/>
          <w:szCs w:val="32"/>
        </w:rPr>
        <w:t>%；住房保障开支</w:t>
      </w:r>
      <w:r>
        <w:rPr>
          <w:rFonts w:hint="eastAsia" w:asciiTheme="minorEastAsia" w:hAnsiTheme="minorEastAsia" w:eastAsiaTheme="minorEastAsia"/>
          <w:sz w:val="32"/>
          <w:szCs w:val="32"/>
          <w:lang w:val="en-US" w:eastAsia="zh-CN"/>
        </w:rPr>
        <w:t>227.10</w:t>
      </w:r>
      <w:r>
        <w:rPr>
          <w:rFonts w:hint="eastAsia" w:asciiTheme="minorEastAsia" w:hAnsiTheme="minorEastAsia" w:eastAsiaTheme="minorEastAsia"/>
          <w:sz w:val="32"/>
          <w:szCs w:val="32"/>
        </w:rPr>
        <w:t>万元，占5.</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2797.72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3881.28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138.73</w:t>
      </w:r>
      <w:r>
        <w:rPr>
          <w:rFonts w:hint="eastAsia" w:asciiTheme="minorEastAsia" w:hAnsiTheme="minorEastAsia" w:eastAsiaTheme="minorEastAsia"/>
          <w:sz w:val="32"/>
          <w:szCs w:val="32"/>
        </w:rPr>
        <w:t>%，其中：</w:t>
      </w:r>
    </w:p>
    <w:p>
      <w:pPr>
        <w:pStyle w:val="10"/>
        <w:numPr>
          <w:ilvl w:val="0"/>
          <w:numId w:val="0"/>
        </w:numPr>
        <w:rPr>
          <w:rFonts w:hint="eastAsia"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b/>
          <w:bCs/>
          <w:color w:val="000000" w:themeColor="text1"/>
          <w:sz w:val="32"/>
          <w:szCs w:val="32"/>
          <w14:textFill>
            <w14:solidFill>
              <w14:schemeClr w14:val="tx1"/>
            </w14:solidFill>
          </w14:textFill>
        </w:rPr>
        <w:t>教育支出（类）普通教育（款）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初</w:t>
      </w:r>
      <w:r>
        <w:rPr>
          <w:rFonts w:hint="eastAsia" w:asciiTheme="minorEastAsia" w:hAnsiTheme="minorEastAsia" w:eastAsiaTheme="minorEastAsia"/>
          <w:b/>
          <w:bCs/>
          <w:color w:val="000000" w:themeColor="text1"/>
          <w:sz w:val="32"/>
          <w:szCs w:val="32"/>
          <w14:textFill>
            <w14:solidFill>
              <w14:schemeClr w14:val="tx1"/>
            </w14:solidFill>
          </w14:textFill>
        </w:rPr>
        <w:t>中教育（项）</w:t>
      </w:r>
    </w:p>
    <w:p>
      <w:pPr>
        <w:pStyle w:val="10"/>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2034.3</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u w:val="none"/>
          <w:lang w:val="en-US" w:eastAsia="zh-CN"/>
          <w14:textFill>
            <w14:solidFill>
              <w14:schemeClr w14:val="tx1"/>
            </w14:solidFill>
          </w14:textFill>
        </w:rPr>
        <w:t>2140.96</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105.24</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使用上年结余。</w:t>
      </w:r>
    </w:p>
    <w:p>
      <w:pPr>
        <w:pStyle w:val="10"/>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b/>
          <w:bCs/>
          <w:color w:val="000000" w:themeColor="text1"/>
          <w:sz w:val="32"/>
          <w:szCs w:val="32"/>
          <w14:textFill>
            <w14:solidFill>
              <w14:schemeClr w14:val="tx1"/>
            </w14:solidFill>
          </w14:textFill>
        </w:rPr>
        <w:t>教育支出（类）普通教育（款）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其他普通</w:t>
      </w:r>
      <w:r>
        <w:rPr>
          <w:rFonts w:hint="eastAsia" w:asciiTheme="minorEastAsia" w:hAnsiTheme="minorEastAsia" w:eastAsiaTheme="minorEastAsia"/>
          <w:b/>
          <w:bCs/>
          <w:color w:val="000000" w:themeColor="text1"/>
          <w:sz w:val="32"/>
          <w:szCs w:val="32"/>
          <w14:textFill>
            <w14:solidFill>
              <w14:schemeClr w14:val="tx1"/>
            </w14:solidFill>
          </w14:textFill>
        </w:rPr>
        <w:t>教育</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支出</w:t>
      </w:r>
      <w:r>
        <w:rPr>
          <w:rFonts w:hint="eastAsia" w:asciiTheme="minorEastAsia" w:hAnsiTheme="minorEastAsia" w:eastAsiaTheme="minorEastAsia"/>
          <w:b/>
          <w:bCs/>
          <w:color w:val="000000" w:themeColor="text1"/>
          <w:sz w:val="32"/>
          <w:szCs w:val="32"/>
          <w14:textFill>
            <w14:solidFill>
              <w14:schemeClr w14:val="tx1"/>
            </w14:solidFill>
          </w14:textFill>
        </w:rPr>
        <w:t>（项）</w:t>
      </w:r>
    </w:p>
    <w:p>
      <w:pPr>
        <w:pStyle w:val="10"/>
        <w:numPr>
          <w:ilvl w:val="0"/>
          <w:numId w:val="0"/>
        </w:numPr>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188.26</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财政追加安排文明校园建设经费。</w:t>
      </w:r>
    </w:p>
    <w:p>
      <w:pPr>
        <w:pStyle w:val="10"/>
        <w:numPr>
          <w:ilvl w:val="0"/>
          <w:numId w:val="1"/>
        </w:numPr>
        <w:rPr>
          <w:rFonts w:hint="eastAsia"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教育支出（类）</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教育费附加安排的支出</w:t>
      </w:r>
      <w:r>
        <w:rPr>
          <w:rFonts w:hint="eastAsia" w:asciiTheme="minorEastAsia" w:hAnsiTheme="minorEastAsia" w:eastAsiaTheme="minorEastAsia"/>
          <w:b/>
          <w:bCs/>
          <w:color w:val="000000" w:themeColor="text1"/>
          <w:sz w:val="32"/>
          <w:szCs w:val="32"/>
          <w14:textFill>
            <w14:solidFill>
              <w14:schemeClr w14:val="tx1"/>
            </w14:solidFill>
          </w14:textFill>
        </w:rPr>
        <w:t>（款）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其他教育费附加安排的支出</w:t>
      </w:r>
      <w:r>
        <w:rPr>
          <w:rFonts w:hint="eastAsia" w:asciiTheme="minorEastAsia" w:hAnsiTheme="minorEastAsia" w:eastAsiaTheme="minorEastAsia"/>
          <w:b/>
          <w:bCs/>
          <w:color w:val="000000" w:themeColor="text1"/>
          <w:sz w:val="32"/>
          <w:szCs w:val="32"/>
          <w14:textFill>
            <w14:solidFill>
              <w14:schemeClr w14:val="tx1"/>
            </w14:solidFill>
          </w14:textFill>
        </w:rPr>
        <w:t>（项）</w:t>
      </w:r>
    </w:p>
    <w:p>
      <w:pPr>
        <w:pStyle w:val="10"/>
        <w:numPr>
          <w:ilvl w:val="0"/>
          <w:numId w:val="0"/>
        </w:numPr>
        <w:rPr>
          <w:rFonts w:hint="default"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9</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790.57</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8784</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财政追加安排绩效考评奖励等指标。</w:t>
      </w:r>
    </w:p>
    <w:p>
      <w:pPr>
        <w:pStyle w:val="10"/>
        <w:numPr>
          <w:numId w:val="0"/>
        </w:numPr>
        <w:rPr>
          <w:rFonts w:hint="eastAsia" w:asciiTheme="minorEastAsia" w:hAnsiTheme="minorEastAsia" w:eastAsiaTheme="minorEastAsia"/>
          <w:b/>
          <w:bCs/>
          <w:color w:val="000000" w:themeColor="text1"/>
          <w:sz w:val="32"/>
          <w:szCs w:val="32"/>
          <w:lang w:val="en-US"/>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b/>
          <w:bCs/>
          <w:color w:val="000000" w:themeColor="text1"/>
          <w:sz w:val="32"/>
          <w:szCs w:val="32"/>
          <w:lang w:val="en-US"/>
          <w14:textFill>
            <w14:solidFill>
              <w14:schemeClr w14:val="tx1"/>
            </w14:solidFill>
          </w14:textFill>
        </w:rPr>
        <w:t>社会保障和就业支出（类）行政事业单位养老支出（款）机关事业单位基本养老保险缴费支出（项）</w:t>
      </w:r>
    </w:p>
    <w:p>
      <w:pPr>
        <w:pStyle w:val="10"/>
        <w:numPr>
          <w:ilvl w:val="0"/>
          <w:numId w:val="0"/>
        </w:numPr>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宋体" w:hAnsi="宋体"/>
          <w:color w:val="000000"/>
          <w:kern w:val="0"/>
          <w:sz w:val="32"/>
          <w:highlight w:val="white"/>
          <w:lang w:val="en-US" w:eastAsia="zh-CN"/>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302.81</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302.81</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numPr>
          <w:numId w:val="0"/>
        </w:numPr>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eastAsia="zh-CN"/>
        </w:rPr>
        <w:t>5、</w:t>
      </w:r>
      <w:r>
        <w:rPr>
          <w:rFonts w:hint="eastAsia" w:ascii="宋体" w:hAnsi="宋体"/>
          <w:b/>
          <w:bCs/>
          <w:color w:val="000000"/>
          <w:kern w:val="0"/>
          <w:sz w:val="32"/>
          <w:highlight w:val="white"/>
          <w:lang w:val="en-US"/>
        </w:rPr>
        <w:t>社会保障和就业支出（类）抚恤（款）其他优抚支出（项）</w:t>
      </w:r>
    </w:p>
    <w:p>
      <w:pPr>
        <w:pStyle w:val="10"/>
        <w:numPr>
          <w:ilvl w:val="0"/>
          <w:numId w:val="0"/>
        </w:numPr>
        <w:ind w:firstLine="640" w:firstLineChars="200"/>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7.06</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财政追加安排优抚资金。</w:t>
      </w:r>
    </w:p>
    <w:p>
      <w:pPr>
        <w:numPr>
          <w:numId w:val="0"/>
        </w:numPr>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eastAsia="zh-CN"/>
        </w:rPr>
        <w:t>6、</w:t>
      </w:r>
      <w:r>
        <w:rPr>
          <w:rFonts w:hint="eastAsia" w:ascii="宋体" w:hAnsi="宋体"/>
          <w:b/>
          <w:bCs/>
          <w:color w:val="000000"/>
          <w:kern w:val="0"/>
          <w:sz w:val="32"/>
          <w:highlight w:val="white"/>
          <w:lang w:val="en-US"/>
        </w:rPr>
        <w:t>社会保障和就业支出（类）</w:t>
      </w:r>
      <w:r>
        <w:rPr>
          <w:rFonts w:hint="eastAsia" w:ascii="宋体" w:hAnsi="宋体"/>
          <w:b/>
          <w:bCs/>
          <w:color w:val="000000"/>
          <w:kern w:val="0"/>
          <w:sz w:val="32"/>
          <w:highlight w:val="white"/>
          <w:lang w:val="en-US" w:eastAsia="zh-CN"/>
        </w:rPr>
        <w:t>残疾人事业</w:t>
      </w:r>
      <w:r>
        <w:rPr>
          <w:rFonts w:hint="eastAsia" w:ascii="宋体" w:hAnsi="宋体"/>
          <w:b/>
          <w:bCs/>
          <w:color w:val="000000"/>
          <w:kern w:val="0"/>
          <w:sz w:val="32"/>
          <w:highlight w:val="white"/>
          <w:lang w:val="en-US"/>
        </w:rPr>
        <w:t>（款）其他</w:t>
      </w:r>
      <w:r>
        <w:rPr>
          <w:rFonts w:hint="eastAsia" w:ascii="宋体" w:hAnsi="宋体"/>
          <w:b/>
          <w:bCs/>
          <w:color w:val="000000"/>
          <w:kern w:val="0"/>
          <w:sz w:val="32"/>
          <w:highlight w:val="white"/>
          <w:lang w:val="en-US" w:eastAsia="zh-CN"/>
        </w:rPr>
        <w:t>残疾人事业支出</w:t>
      </w:r>
      <w:r>
        <w:rPr>
          <w:rFonts w:hint="eastAsia" w:ascii="宋体" w:hAnsi="宋体"/>
          <w:b/>
          <w:bCs/>
          <w:color w:val="000000"/>
          <w:kern w:val="0"/>
          <w:sz w:val="32"/>
          <w:highlight w:val="white"/>
          <w:lang w:val="en-US"/>
        </w:rPr>
        <w:t>（项）</w:t>
      </w:r>
    </w:p>
    <w:p>
      <w:pPr>
        <w:pStyle w:val="10"/>
        <w:numPr>
          <w:ilvl w:val="0"/>
          <w:numId w:val="0"/>
        </w:numPr>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9.85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9.85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pStyle w:val="10"/>
        <w:numPr>
          <w:ilvl w:val="0"/>
          <w:numId w:val="0"/>
        </w:numPr>
        <w:rPr>
          <w:rFonts w:hint="eastAsia" w:asciiTheme="minorEastAsia" w:hAnsiTheme="minorEastAsia" w:eastAsiaTheme="minorEastAsia"/>
          <w:b/>
          <w:bCs/>
          <w:color w:val="000000" w:themeColor="text1"/>
          <w:sz w:val="32"/>
          <w:szCs w:val="32"/>
          <w:lang w:val="en-US"/>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b/>
          <w:bCs/>
          <w:color w:val="000000" w:themeColor="text1"/>
          <w:sz w:val="32"/>
          <w:szCs w:val="32"/>
          <w:lang w:val="en-US"/>
          <w14:textFill>
            <w14:solidFill>
              <w14:schemeClr w14:val="tx1"/>
            </w14:solidFill>
          </w14:textFill>
        </w:rPr>
        <w:t>卫生健康支出（类）行政事业单位医疗（款）事业单位医疗（项）</w:t>
      </w:r>
    </w:p>
    <w:p>
      <w:pPr>
        <w:pStyle w:val="10"/>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140.22</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140.22</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pStyle w:val="10"/>
        <w:numPr>
          <w:numId w:val="0"/>
        </w:numPr>
        <w:rPr>
          <w:rFonts w:hint="eastAsia" w:asciiTheme="minorEastAsia" w:hAnsiTheme="minorEastAsia" w:eastAsiaTheme="minorEastAsia"/>
          <w:b/>
          <w:bCs/>
          <w:color w:val="000000" w:themeColor="text1"/>
          <w:sz w:val="32"/>
          <w:szCs w:val="32"/>
          <w:lang w:val="en-US"/>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b/>
          <w:bCs/>
          <w:color w:val="000000" w:themeColor="text1"/>
          <w:sz w:val="32"/>
          <w:szCs w:val="32"/>
          <w:lang w:val="en-US"/>
          <w14:textFill>
            <w14:solidFill>
              <w14:schemeClr w14:val="tx1"/>
            </w14:solidFill>
          </w14:textFill>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14:textFill>
            <w14:solidFill>
              <w14:schemeClr w14:val="tx1"/>
            </w14:solidFill>
          </w14:textFill>
        </w:rPr>
        <w:t>（项）</w:t>
      </w:r>
    </w:p>
    <w:p>
      <w:pPr>
        <w:pStyle w:val="10"/>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74.44</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74.44</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pStyle w:val="10"/>
        <w:numPr>
          <w:numId w:val="0"/>
        </w:numP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sz w:val="32"/>
          <w:szCs w:val="32"/>
          <w:lang w:val="en-US" w:eastAsia="zh-CN"/>
        </w:rPr>
        <w:t>9、</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227.1</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227.1</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3643.96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3514.73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96.45</w:t>
      </w:r>
      <w:r>
        <w:rPr>
          <w:rFonts w:hint="eastAsia" w:asciiTheme="minorEastAsia" w:hAnsiTheme="minorEastAsia" w:eastAsiaTheme="minorEastAsia"/>
          <w:sz w:val="32"/>
          <w:szCs w:val="32"/>
        </w:rPr>
        <w:t>%,主要包括基本工资、津贴补贴、奖金、五险一金等；公用经费</w:t>
      </w:r>
      <w:r>
        <w:rPr>
          <w:rFonts w:hint="eastAsia" w:asciiTheme="minorEastAsia" w:hAnsiTheme="minorEastAsia" w:eastAsiaTheme="minorEastAsia"/>
          <w:sz w:val="32"/>
          <w:szCs w:val="32"/>
          <w:lang w:val="en-US" w:eastAsia="zh-CN"/>
        </w:rPr>
        <w:t>129.23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3.55</w:t>
      </w:r>
      <w:r>
        <w:rPr>
          <w:rFonts w:hint="eastAsia" w:asciiTheme="minorEastAsia" w:hAnsiTheme="minorEastAsia" w:eastAsiaTheme="minorEastAsia"/>
          <w:sz w:val="32"/>
          <w:szCs w:val="32"/>
        </w:rPr>
        <w:t>%，主要包括办公费、印刷费、培训费、劳务费等。</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ajorEastAsia" w:hAnsiTheme="majorEastAsia" w:eastAsiaTheme="majorEastAsia" w:cstheme="majorEastAsia"/>
          <w:b/>
          <w:sz w:val="32"/>
          <w:szCs w:val="32"/>
        </w:rPr>
        <w:t>（一）“三公”经费财政拨款支出决算总体情况说明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6.3</w:t>
      </w:r>
      <w:r>
        <w:rPr>
          <w:rFonts w:hint="eastAsia" w:asciiTheme="minorEastAsia" w:hAnsiTheme="minorEastAsia" w:eastAsiaTheme="minorEastAsia"/>
          <w:sz w:val="32"/>
          <w:szCs w:val="32"/>
        </w:rPr>
        <w:t>%，其中：</w:t>
      </w:r>
    </w:p>
    <w:p>
      <w:pPr>
        <w:pStyle w:val="10"/>
        <w:ind w:firstLine="640" w:firstLineChars="200"/>
        <w:rPr>
          <w:rFonts w:hint="eastAsia" w:ascii="宋体" w:hAnsi="宋体" w:eastAsia="宋体"/>
          <w:bCs/>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val="en-US" w:eastAsia="zh-CN"/>
        </w:rPr>
        <w:t>2020年本单位无因公出国</w:t>
      </w:r>
      <w:r>
        <w:rPr>
          <w:rFonts w:hint="eastAsia" w:ascii="宋体" w:hAnsi="宋体" w:eastAsia="宋体"/>
          <w:bCs/>
          <w:sz w:val="32"/>
          <w:szCs w:val="32"/>
        </w:rPr>
        <w:t>（境）</w:t>
      </w:r>
      <w:r>
        <w:rPr>
          <w:rFonts w:hint="eastAsia" w:asciiTheme="minorEastAsia" w:hAnsiTheme="minorEastAsia" w:eastAsiaTheme="minorEastAsia"/>
          <w:sz w:val="32"/>
          <w:szCs w:val="32"/>
          <w:lang w:val="en-US" w:eastAsia="zh-CN"/>
        </w:rPr>
        <w:t>事项发生，</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支出</w:t>
      </w:r>
      <w:r>
        <w:rPr>
          <w:rFonts w:hint="eastAsia" w:ascii="宋体" w:hAnsi="宋体" w:eastAsia="宋体"/>
          <w:bCs/>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15.75</w:t>
      </w:r>
      <w:r>
        <w:rPr>
          <w:rFonts w:hint="eastAsia" w:asciiTheme="minorEastAsia" w:hAnsiTheme="minorEastAsia" w:eastAsiaTheme="minorEastAsia"/>
          <w:sz w:val="32"/>
          <w:szCs w:val="32"/>
        </w:rPr>
        <w:t>%，决算数小于预算数的主要原因是厉行节约，严格控制公务接待</w:t>
      </w:r>
      <w:r>
        <w:rPr>
          <w:rFonts w:hint="eastAsia" w:asciiTheme="minorEastAsia" w:hAnsiTheme="minorEastAsia" w:eastAsiaTheme="minorEastAsia"/>
          <w:sz w:val="32"/>
          <w:szCs w:val="32"/>
          <w:lang w:eastAsia="zh-CN"/>
        </w:rPr>
        <w:t>费用</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%,减少的主要原因是厉行节约，规范管理，进一步压缩“三公”经费。</w:t>
      </w:r>
    </w:p>
    <w:p>
      <w:pPr>
        <w:numPr>
          <w:ilvl w:val="0"/>
          <w:numId w:val="0"/>
        </w:numPr>
        <w:ind w:leftChars="300"/>
        <w:rPr>
          <w:rFonts w:hint="eastAsia"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p>
    <w:p>
      <w:pPr>
        <w:numPr>
          <w:ilvl w:val="0"/>
          <w:numId w:val="0"/>
        </w:numPr>
        <w:rPr>
          <w:rFonts w:hint="eastAsia" w:ascii="宋体" w:hAnsi="宋体" w:eastAsia="宋体"/>
          <w:bCs/>
          <w:sz w:val="32"/>
          <w:szCs w:val="32"/>
        </w:rPr>
      </w:pPr>
      <w:r>
        <w:rPr>
          <w:rFonts w:hint="eastAsia" w:ascii="宋体" w:hAnsi="宋体" w:eastAsia="宋体"/>
          <w:bCs/>
          <w:sz w:val="32"/>
          <w:szCs w:val="32"/>
          <w:lang w:val="en-US" w:eastAsia="zh-CN"/>
        </w:rPr>
        <w:t>决算数与预算数一致为0的主要原因是单位无公车，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（二）“三公”经费财政拨款支出决算具体情况说明</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0.63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教师活动、教学培训</w:t>
      </w:r>
      <w:r>
        <w:rPr>
          <w:rFonts w:hint="eastAsia" w:asciiTheme="minorEastAsia" w:hAnsiTheme="minorEastAsia" w:eastAsiaTheme="minorEastAsia"/>
          <w:sz w:val="32"/>
          <w:szCs w:val="32"/>
        </w:rPr>
        <w:t>发生的接待支出。</w:t>
      </w:r>
    </w:p>
    <w:p>
      <w:pPr>
        <w:ind w:firstLine="960" w:firstLineChars="300"/>
        <w:rPr>
          <w:rFonts w:cs="黑体" w:asciiTheme="minorEastAsia" w:hAnsiTheme="minorEastAsia"/>
          <w:color w:val="000000"/>
          <w:kern w:val="0"/>
          <w:sz w:val="32"/>
          <w:szCs w:val="32"/>
        </w:rPr>
      </w:pPr>
      <w:r>
        <w:rPr>
          <w:rFonts w:hint="eastAsia" w:asciiTheme="minorEastAsia" w:hAnsiTheme="minorEastAsia"/>
          <w:sz w:val="32"/>
          <w:szCs w:val="32"/>
        </w:rPr>
        <w:t>3、</w:t>
      </w:r>
      <w:r>
        <w:rPr>
          <w:rFonts w:hint="eastAsia" w:ascii="宋体" w:hAnsi="宋体"/>
          <w:sz w:val="32"/>
          <w:szCs w:val="32"/>
        </w:rPr>
        <w:t>公务用车购置费及运行维护费支出决算为0万元，其中：公务用车购置费0万元，</w:t>
      </w:r>
      <w:r>
        <w:rPr>
          <w:rFonts w:hint="eastAsia" w:ascii="宋体" w:hAnsi="宋体"/>
          <w:sz w:val="32"/>
          <w:szCs w:val="32"/>
          <w:lang w:val="en-US" w:eastAsia="zh-CN"/>
        </w:rPr>
        <w:t>单位本级</w:t>
      </w:r>
      <w:r>
        <w:rPr>
          <w:rFonts w:hint="eastAsia" w:ascii="宋体" w:hAnsi="宋体"/>
          <w:sz w:val="32"/>
          <w:szCs w:val="32"/>
        </w:rPr>
        <w:t>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本单位2020年度无政府性基金收支。</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九、国有资本经营预算财政拨款支出决算情况</w:t>
      </w:r>
    </w:p>
    <w:p>
      <w:pPr>
        <w:pStyle w:val="10"/>
        <w:ind w:firstLine="630"/>
        <w:rPr>
          <w:rFonts w:hAnsi="黑体"/>
          <w:b/>
          <w:sz w:val="32"/>
          <w:szCs w:val="32"/>
        </w:rPr>
      </w:pPr>
      <w:r>
        <w:rPr>
          <w:rFonts w:hint="eastAsia" w:asciiTheme="minorEastAsia" w:hAnsiTheme="minorEastAsia" w:eastAsiaTheme="minorEastAsia"/>
          <w:sz w:val="32"/>
          <w:szCs w:val="32"/>
        </w:rPr>
        <w:t>本单位2020年度无国有资本经营预算财政拨款支出</w:t>
      </w:r>
      <w:r>
        <w:rPr>
          <w:rFonts w:asciiTheme="minorEastAsia" w:hAnsiTheme="minorEastAsia" w:eastAsiaTheme="minorEastAsia"/>
          <w:sz w:val="32"/>
          <w:szCs w:val="32"/>
        </w:rPr>
        <w:t>。</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十、关于机关运行经费支出说明</w:t>
      </w:r>
    </w:p>
    <w:p>
      <w:pPr>
        <w:pStyle w:val="10"/>
        <w:ind w:firstLine="640" w:firstLineChars="200"/>
        <w:rPr>
          <w:rFonts w:asciiTheme="minorEastAsia" w:hAnsiTheme="minorEastAsia" w:eastAsiaTheme="minorEastAsia"/>
          <w:sz w:val="32"/>
          <w:szCs w:val="32"/>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10"/>
        <w:numPr>
          <w:ilvl w:val="0"/>
          <w:numId w:val="2"/>
        </w:numP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一般性支出情况</w:t>
      </w:r>
    </w:p>
    <w:p>
      <w:pPr>
        <w:widowControl/>
        <w:shd w:val="clear" w:color="auto" w:fill="FFFFFF"/>
        <w:ind w:firstLine="640" w:firstLineChars="200"/>
        <w:rPr>
          <w:rFonts w:hint="eastAsia" w:hAnsi="黑体" w:eastAsiaTheme="minorEastAsia"/>
          <w:b/>
          <w:sz w:val="32"/>
          <w:szCs w:val="32"/>
          <w:lang w:val="en-US" w:eastAsia="zh-CN"/>
        </w:rPr>
      </w:pPr>
      <w:r>
        <w:rPr>
          <w:rFonts w:hint="eastAsia" w:ascii="宋体" w:hAnsi="宋体" w:cs="黑体"/>
          <w:color w:val="000000"/>
          <w:kern w:val="0"/>
          <w:sz w:val="32"/>
          <w:szCs w:val="32"/>
        </w:rPr>
        <w:t>2</w:t>
      </w:r>
      <w:r>
        <w:rPr>
          <w:rFonts w:hint="eastAsia" w:ascii="宋体" w:hAnsi="宋体" w:eastAsia="宋体"/>
          <w:sz w:val="32"/>
          <w:szCs w:val="32"/>
        </w:rPr>
        <w:t>020年本部门开支会议费0万元</w:t>
      </w:r>
      <w:r>
        <w:rPr>
          <w:rFonts w:hint="eastAsia" w:ascii="宋体" w:hAnsi="宋体" w:eastAsia="宋体"/>
          <w:sz w:val="32"/>
          <w:szCs w:val="32"/>
          <w:lang w:eastAsia="zh-CN"/>
        </w:rPr>
        <w:t>，</w:t>
      </w:r>
      <w:r>
        <w:rPr>
          <w:rFonts w:hint="eastAsia" w:ascii="宋体" w:hAnsi="宋体" w:eastAsia="宋体"/>
          <w:sz w:val="32"/>
          <w:szCs w:val="32"/>
          <w:lang w:val="en-US" w:eastAsia="zh-CN"/>
        </w:rPr>
        <w:t>未召开会议，人数0人</w:t>
      </w:r>
      <w:r>
        <w:rPr>
          <w:rFonts w:hint="eastAsia" w:ascii="宋体" w:hAnsi="宋体" w:eastAsia="宋体"/>
          <w:sz w:val="32"/>
          <w:szCs w:val="32"/>
        </w:rPr>
        <w:t>；</w:t>
      </w:r>
      <w:r>
        <w:rPr>
          <w:rFonts w:hint="eastAsia" w:asciiTheme="minorEastAsia" w:hAnsiTheme="minorEastAsia" w:eastAsiaTheme="minorEastAsia"/>
          <w:sz w:val="32"/>
          <w:szCs w:val="32"/>
        </w:rPr>
        <w:t>开支</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lang w:val="en-US" w:eastAsia="zh-CN"/>
        </w:rPr>
        <w:t>7.21万元，主要用于开展教师业务培训，人数为239人次，内容为教师继续教育远程培训及教学活动交流培训等；</w:t>
      </w:r>
      <w:r>
        <w:rPr>
          <w:rFonts w:hint="eastAsia" w:ascii="宋体" w:hAnsi="宋体" w:cs="黑体"/>
          <w:color w:val="000000"/>
          <w:kern w:val="0"/>
          <w:sz w:val="32"/>
          <w:szCs w:val="32"/>
          <w:lang w:val="en-US" w:eastAsia="zh-CN"/>
        </w:rPr>
        <w:t>未</w:t>
      </w:r>
      <w:r>
        <w:rPr>
          <w:rFonts w:hint="eastAsia" w:ascii="宋体" w:hAnsi="宋体" w:cs="黑体"/>
          <w:color w:val="000000"/>
          <w:kern w:val="0"/>
          <w:sz w:val="32"/>
          <w:szCs w:val="32"/>
        </w:rPr>
        <w:t>举办节庆、晚会、论坛、赛事活动</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开支0万元。</w:t>
      </w:r>
    </w:p>
    <w:p>
      <w:pPr>
        <w:pStyle w:val="10"/>
        <w:numPr>
          <w:ilvl w:val="0"/>
          <w:numId w:val="2"/>
        </w:numP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关于政府采购支出说明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十四、关于2020年度预算绩效情况的说明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根据财政预算管理要求，我单位对2020年度财政预算专项资金开支专项绩效自评。对列入财政审批的专项预算做到立项论证、预算申报、采购验收、资金支付及项目跟踪监控一系列流程的规范管理，建立健全了预算绩效管理细则，成立了管理小组，明确专项专人负责。并形成了绩效管理定期汇报总结制度。</w:t>
      </w:r>
      <w:r>
        <w:rPr>
          <w:rFonts w:hint="eastAsia" w:asciiTheme="minorEastAsia" w:hAnsiTheme="minorEastAsia" w:eastAsiaTheme="minorEastAsia"/>
          <w:sz w:val="32"/>
          <w:szCs w:val="32"/>
          <w:lang w:val="en-US" w:eastAsia="zh-CN"/>
        </w:rPr>
        <w:t>详情见第五部分附件。</w:t>
      </w:r>
      <w:bookmarkStart w:id="2" w:name="_GoBack"/>
      <w:bookmarkEnd w:id="2"/>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2"/>
          <w:szCs w:val="72"/>
        </w:rPr>
      </w:pPr>
    </w:p>
    <w:p>
      <w:pPr>
        <w:jc w:val="center"/>
        <w:rPr>
          <w:rFonts w:ascii="黑体" w:eastAsia="黑体" w:cs="黑体"/>
          <w:color w:val="000000"/>
          <w:kern w:val="0"/>
          <w:sz w:val="72"/>
          <w:szCs w:val="72"/>
        </w:rPr>
      </w:pPr>
      <w:r>
        <w:rPr>
          <w:rFonts w:hint="eastAsia" w:ascii="黑体" w:eastAsia="黑体" w:cs="黑体"/>
          <w:color w:val="000000"/>
          <w:kern w:val="0"/>
          <w:sz w:val="72"/>
          <w:szCs w:val="7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ind w:firstLine="480" w:firstLineChars="150"/>
        <w:rPr>
          <w:rFonts w:hint="eastAsia" w:asciiTheme="minorEastAsia" w:hAnsiTheme="minorEastAsia" w:eastAsiaTheme="minorEastAsia" w:cstheme="minorEastAsia"/>
          <w:sz w:val="32"/>
          <w:szCs w:val="32"/>
        </w:rPr>
      </w:pPr>
      <w:r>
        <w:rPr>
          <w:rFonts w:hint="eastAsia" w:ascii="宋体" w:hAnsi="宋体" w:eastAsia="宋体" w:cs="黑体"/>
          <w:sz w:val="32"/>
          <w:szCs w:val="32"/>
        </w:rPr>
        <w:t xml:space="preserve"> </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、一般预算财政拨款(补助)收入:指财政部门拨入的各类经费。</w:t>
      </w:r>
    </w:p>
    <w:p>
      <w:pPr>
        <w:pStyle w:val="1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、财政拨款收入:指本级财政当年拨付的资金。</w:t>
      </w:r>
    </w:p>
    <w:p>
      <w:pPr>
        <w:widowControl/>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3</w:t>
      </w:r>
      <w:r>
        <w:rPr>
          <w:rFonts w:hint="eastAsia" w:asciiTheme="minorEastAsia" w:hAnsiTheme="minorEastAsia" w:eastAsiaTheme="minorEastAsia" w:cstheme="minorEastAsia"/>
          <w:color w:val="000000"/>
          <w:kern w:val="0"/>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4</w:t>
      </w:r>
      <w:r>
        <w:rPr>
          <w:rFonts w:hint="eastAsia" w:asciiTheme="minorEastAsia" w:hAnsiTheme="minorEastAsia" w:eastAsiaTheme="minorEastAsia" w:cstheme="minorEastAsia"/>
          <w:color w:val="000000"/>
          <w:kern w:val="0"/>
          <w:sz w:val="32"/>
          <w:szCs w:val="32"/>
        </w:rPr>
        <w:t>、医疗卫生与计划生育支出(类):是指用于医疗卫生与计划生育方面的支出，包括保障机构正常运转、完成日常和特定的工作任务或事业发展目标的支出</w:t>
      </w:r>
    </w:p>
    <w:p>
      <w:pPr>
        <w:widowControl/>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、住房保障支出(类):是指用于住房方面的支出，包括保障机构正常运转、完成日常和特定的工作任务或事业发展目标的支出。</w:t>
      </w:r>
    </w:p>
    <w:p>
      <w:pPr>
        <w:widowControl/>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6</w:t>
      </w:r>
      <w:r>
        <w:rPr>
          <w:rFonts w:hint="eastAsia" w:asciiTheme="minorEastAsia" w:hAnsiTheme="minorEastAsia" w:eastAsiaTheme="minorEastAsia" w:cstheme="minorEastAsia"/>
          <w:color w:val="000000"/>
          <w:kern w:val="0"/>
          <w:sz w:val="32"/>
          <w:szCs w:val="32"/>
        </w:rPr>
        <w:t>、预算绩效:即政府预算资金实施所产生的效益、效率和效果。</w:t>
      </w:r>
    </w:p>
    <w:p>
      <w:pPr>
        <w:widowControl/>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7</w:t>
      </w:r>
      <w:r>
        <w:rPr>
          <w:rFonts w:hint="eastAsia" w:asciiTheme="minorEastAsia" w:hAnsiTheme="minorEastAsia" w:eastAsiaTheme="minorEastAsia" w:cstheme="minorEastAsia"/>
          <w:color w:val="000000"/>
          <w:kern w:val="0"/>
          <w:sz w:val="32"/>
          <w:szCs w:val="32"/>
        </w:rPr>
        <w:t>、基本支出:指保障机构正常运转、完成日常工作任务而发生的人员支出和公用支出。</w:t>
      </w:r>
    </w:p>
    <w:p>
      <w:pPr>
        <w:widowControl/>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8</w:t>
      </w:r>
      <w:r>
        <w:rPr>
          <w:rFonts w:hint="eastAsia" w:asciiTheme="minorEastAsia" w:hAnsiTheme="minorEastAsia" w:eastAsiaTheme="minorEastAsia" w:cstheme="minorEastAsia"/>
          <w:color w:val="000000"/>
          <w:kern w:val="0"/>
          <w:sz w:val="32"/>
          <w:szCs w:val="32"/>
        </w:rPr>
        <w:t>、项目支出:指在基本支出之外为完成特定行政任务和事业发展目标所发生的支出。</w:t>
      </w:r>
    </w:p>
    <w:p>
      <w:pPr>
        <w:pStyle w:val="10"/>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三公”经费:纳入省对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sz w:val="32"/>
          <w:szCs w:val="32"/>
          <w:lang w:val="en-US" w:eastAsia="zh-CN"/>
        </w:rPr>
        <w:t>10、</w:t>
      </w:r>
      <w:r>
        <w:rPr>
          <w:rFonts w:hint="eastAsia" w:asciiTheme="minorEastAsia" w:hAnsiTheme="minorEastAsia" w:eastAsiaTheme="minorEastAsia" w:cstheme="minorEastAsia"/>
          <w:b w:val="0"/>
          <w:bCs w:val="0"/>
          <w:i w:val="0"/>
          <w:iCs w:val="0"/>
          <w:caps w:val="0"/>
          <w:color w:val="333333"/>
          <w:spacing w:val="8"/>
          <w:sz w:val="32"/>
          <w:szCs w:val="32"/>
          <w:shd w:val="clear" w:fill="FFFFFF"/>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Theme="minorEastAsia" w:hAnsiTheme="minorEastAsia" w:eastAsiaTheme="minorEastAsia" w:cstheme="minorEastAsia"/>
          <w:sz w:val="32"/>
          <w:szCs w:val="32"/>
        </w:rPr>
      </w:pPr>
    </w:p>
    <w:p>
      <w:pPr>
        <w:pStyle w:val="10"/>
        <w:ind w:firstLine="800" w:firstLineChars="250"/>
        <w:rPr>
          <w:rFonts w:hint="eastAsia" w:asciiTheme="minorEastAsia" w:hAnsiTheme="minorEastAsia" w:eastAsiaTheme="minorEastAsia" w:cstheme="minorEastAsia"/>
          <w:sz w:val="32"/>
          <w:szCs w:val="32"/>
          <w:lang w:val="en-US" w:eastAsia="zh-CN"/>
        </w:rPr>
      </w:pPr>
    </w:p>
    <w:p>
      <w:pPr>
        <w:widowControl/>
        <w:ind w:firstLine="640" w:firstLineChars="200"/>
        <w:jc w:val="left"/>
        <w:rPr>
          <w:rFonts w:hint="eastAsia" w:ascii="宋体" w:hAnsi="宋体" w:cs="黑体"/>
          <w:color w:val="000000"/>
          <w:kern w:val="0"/>
          <w:sz w:val="32"/>
          <w:szCs w:val="32"/>
        </w:rPr>
      </w:pPr>
    </w:p>
    <w:p>
      <w:pPr>
        <w:pStyle w:val="10"/>
        <w:jc w:val="center"/>
        <w:rPr>
          <w:rFonts w:hint="eastAsia"/>
          <w:sz w:val="72"/>
          <w:szCs w:val="72"/>
        </w:rPr>
      </w:pPr>
      <w:r>
        <w:rPr>
          <w:rFonts w:hint="eastAsia"/>
          <w:sz w:val="72"/>
          <w:szCs w:val="72"/>
        </w:rPr>
        <w:t xml:space="preserve"> </w:t>
      </w:r>
    </w:p>
    <w:p>
      <w:pPr>
        <w:pStyle w:val="10"/>
        <w:jc w:val="both"/>
        <w:rPr>
          <w:rFonts w:hint="default" w:eastAsia="黑体"/>
          <w:sz w:val="72"/>
          <w:szCs w:val="72"/>
          <w:lang w:val="en-US" w:eastAsia="zh-CN"/>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720" w:firstLineChars="200"/>
        <w:jc w:val="center"/>
        <w:rPr>
          <w:rFonts w:cs="黑体" w:asciiTheme="minorEastAsia" w:hAnsiTheme="minorEastAsia"/>
          <w:b/>
          <w:color w:val="000000"/>
          <w:kern w:val="0"/>
          <w:sz w:val="36"/>
          <w:szCs w:val="32"/>
        </w:rPr>
      </w:pPr>
      <w:r>
        <w:rPr>
          <w:rFonts w:hint="eastAsia" w:cs="黑体" w:asciiTheme="minorEastAsia" w:hAnsiTheme="minorEastAsia"/>
          <w:b/>
          <w:color w:val="000000"/>
          <w:kern w:val="0"/>
          <w:sz w:val="36"/>
          <w:szCs w:val="32"/>
        </w:rPr>
        <w:t>2020年度部门整体支出绩效评价报告</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一、部门概况</w:t>
      </w:r>
    </w:p>
    <w:p>
      <w:pPr>
        <w:spacing w:line="312"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（一）基本情况</w:t>
      </w:r>
    </w:p>
    <w:p>
      <w:pPr>
        <w:widowControl/>
        <w:spacing w:line="312"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岳阳市第九中学创建于2005年7月，学校现有63个教学班、3325名学生。有239名在编教职员工，其中特级教师3人，中、高级教师172人。</w:t>
      </w:r>
    </w:p>
    <w:p>
      <w:pPr>
        <w:widowControl/>
        <w:numPr>
          <w:ilvl w:val="0"/>
          <w:numId w:val="3"/>
        </w:numPr>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部门整体支出管理及使用情况</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（一）基本支出</w:t>
      </w:r>
    </w:p>
    <w:p>
      <w:pPr>
        <w:widowControl/>
        <w:spacing w:line="312"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bCs w:val="0"/>
          <w:sz w:val="32"/>
          <w:szCs w:val="32"/>
        </w:rPr>
        <w:t>全年支出</w:t>
      </w:r>
      <w:r>
        <w:rPr>
          <w:rFonts w:hint="eastAsia" w:asciiTheme="minorEastAsia" w:hAnsiTheme="minorEastAsia" w:eastAsiaTheme="minorEastAsia" w:cstheme="minorEastAsia"/>
          <w:b w:val="0"/>
          <w:bCs w:val="0"/>
          <w:sz w:val="32"/>
          <w:szCs w:val="32"/>
          <w:lang w:val="en-US" w:eastAsia="zh-CN"/>
        </w:rPr>
        <w:t>3883.16</w:t>
      </w:r>
      <w:r>
        <w:rPr>
          <w:rFonts w:hint="eastAsia" w:asciiTheme="minorEastAsia" w:hAnsiTheme="minorEastAsia" w:eastAsiaTheme="minorEastAsia" w:cstheme="minorEastAsia"/>
          <w:b w:val="0"/>
          <w:bCs w:val="0"/>
          <w:sz w:val="32"/>
          <w:szCs w:val="32"/>
        </w:rPr>
        <w:t>万元。其中基本支出</w:t>
      </w:r>
      <w:r>
        <w:rPr>
          <w:rFonts w:hint="eastAsia" w:asciiTheme="minorEastAsia" w:hAnsiTheme="minorEastAsia" w:eastAsiaTheme="minorEastAsia" w:cstheme="minorEastAsia"/>
          <w:b w:val="0"/>
          <w:bCs w:val="0"/>
          <w:sz w:val="32"/>
          <w:szCs w:val="32"/>
          <w:lang w:val="en-US" w:eastAsia="zh-CN"/>
        </w:rPr>
        <w:t>3645.84</w:t>
      </w:r>
      <w:r>
        <w:rPr>
          <w:rFonts w:hint="eastAsia" w:asciiTheme="minorEastAsia" w:hAnsiTheme="minorEastAsia" w:eastAsiaTheme="minorEastAsia" w:cstheme="minorEastAsia"/>
          <w:b w:val="0"/>
          <w:bCs w:val="0"/>
          <w:sz w:val="32"/>
          <w:szCs w:val="32"/>
        </w:rPr>
        <w:t>万元，占全年支出</w:t>
      </w:r>
      <w:r>
        <w:rPr>
          <w:rFonts w:hint="eastAsia" w:asciiTheme="minorEastAsia" w:hAnsiTheme="minorEastAsia" w:eastAsiaTheme="minorEastAsia" w:cstheme="minorEastAsia"/>
          <w:b w:val="0"/>
          <w:bCs w:val="0"/>
          <w:sz w:val="32"/>
          <w:szCs w:val="32"/>
          <w:lang w:val="en-US" w:eastAsia="zh-CN"/>
        </w:rPr>
        <w:t>93.89</w:t>
      </w:r>
      <w:r>
        <w:rPr>
          <w:rFonts w:hint="eastAsia" w:asciiTheme="minorEastAsia" w:hAnsiTheme="minorEastAsia" w:eastAsiaTheme="minorEastAsia" w:cstheme="minorEastAsia"/>
          <w:b w:val="0"/>
          <w:bCs w:val="0"/>
          <w:sz w:val="32"/>
          <w:szCs w:val="32"/>
        </w:rPr>
        <w:t>%，项目支出</w:t>
      </w:r>
      <w:r>
        <w:rPr>
          <w:rFonts w:hint="eastAsia" w:asciiTheme="minorEastAsia" w:hAnsiTheme="minorEastAsia" w:eastAsiaTheme="minorEastAsia" w:cstheme="minorEastAsia"/>
          <w:b w:val="0"/>
          <w:bCs w:val="0"/>
          <w:sz w:val="32"/>
          <w:szCs w:val="32"/>
          <w:lang w:val="en-US" w:eastAsia="zh-CN"/>
        </w:rPr>
        <w:t>237.32</w:t>
      </w:r>
      <w:r>
        <w:rPr>
          <w:rFonts w:hint="eastAsia" w:asciiTheme="minorEastAsia" w:hAnsiTheme="minorEastAsia" w:eastAsiaTheme="minorEastAsia" w:cstheme="minorEastAsia"/>
          <w:b w:val="0"/>
          <w:bCs w:val="0"/>
          <w:sz w:val="32"/>
          <w:szCs w:val="32"/>
        </w:rPr>
        <w:t xml:space="preserve">万元，占全年支出 </w:t>
      </w:r>
      <w:r>
        <w:rPr>
          <w:rFonts w:hint="eastAsia" w:asciiTheme="minorEastAsia" w:hAnsiTheme="minorEastAsia" w:eastAsiaTheme="minorEastAsia" w:cstheme="minorEastAsia"/>
          <w:b w:val="0"/>
          <w:bCs w:val="0"/>
          <w:sz w:val="32"/>
          <w:szCs w:val="32"/>
          <w:lang w:val="en-US" w:eastAsia="zh-CN"/>
        </w:rPr>
        <w:t>6.11</w:t>
      </w:r>
      <w:r>
        <w:rPr>
          <w:rFonts w:hint="eastAsia" w:asciiTheme="minorEastAsia" w:hAnsiTheme="minorEastAsia" w:eastAsiaTheme="minorEastAsia" w:cstheme="minorEastAsia"/>
          <w:b w:val="0"/>
          <w:bCs w:val="0"/>
          <w:sz w:val="32"/>
          <w:szCs w:val="32"/>
        </w:rPr>
        <w:t>%。其中工资福利支出</w:t>
      </w:r>
      <w:r>
        <w:rPr>
          <w:rFonts w:hint="eastAsia" w:asciiTheme="minorEastAsia" w:hAnsiTheme="minorEastAsia" w:eastAsiaTheme="minorEastAsia" w:cstheme="minorEastAsia"/>
          <w:b w:val="0"/>
          <w:bCs w:val="0"/>
          <w:sz w:val="32"/>
          <w:szCs w:val="32"/>
          <w:lang w:val="en-US" w:eastAsia="zh-CN"/>
        </w:rPr>
        <w:t>3474.30</w:t>
      </w:r>
      <w:r>
        <w:rPr>
          <w:rFonts w:hint="eastAsia" w:asciiTheme="minorEastAsia" w:hAnsiTheme="minorEastAsia" w:eastAsiaTheme="minorEastAsia" w:cstheme="minorEastAsia"/>
          <w:b w:val="0"/>
          <w:bCs w:val="0"/>
          <w:sz w:val="32"/>
          <w:szCs w:val="32"/>
        </w:rPr>
        <w:t>万元，占全年支出</w:t>
      </w:r>
      <w:r>
        <w:rPr>
          <w:rFonts w:hint="eastAsia" w:asciiTheme="minorEastAsia" w:hAnsiTheme="minorEastAsia" w:eastAsiaTheme="minorEastAsia" w:cstheme="minorEastAsia"/>
          <w:b w:val="0"/>
          <w:bCs w:val="0"/>
          <w:sz w:val="32"/>
          <w:szCs w:val="32"/>
          <w:lang w:val="en-US" w:eastAsia="zh-CN"/>
        </w:rPr>
        <w:t>89.47</w:t>
      </w:r>
      <w:r>
        <w:rPr>
          <w:rFonts w:hint="eastAsia" w:asciiTheme="minorEastAsia" w:hAnsiTheme="minorEastAsia" w:eastAsiaTheme="minorEastAsia" w:cstheme="minorEastAsia"/>
          <w:b w:val="0"/>
          <w:bCs w:val="0"/>
          <w:sz w:val="32"/>
          <w:szCs w:val="32"/>
        </w:rPr>
        <w:t>%；商品和服务支出353.</w:t>
      </w:r>
      <w:r>
        <w:rPr>
          <w:rFonts w:hint="eastAsia" w:asciiTheme="minorEastAsia" w:hAnsiTheme="minorEastAsia" w:eastAsiaTheme="minorEastAsia" w:cstheme="minorEastAsia"/>
          <w:b w:val="0"/>
          <w:bCs w:val="0"/>
          <w:sz w:val="32"/>
          <w:szCs w:val="32"/>
          <w:lang w:val="en-US" w:eastAsia="zh-CN"/>
        </w:rPr>
        <w:t>54</w:t>
      </w:r>
      <w:r>
        <w:rPr>
          <w:rFonts w:hint="eastAsia" w:asciiTheme="minorEastAsia" w:hAnsiTheme="minorEastAsia" w:eastAsiaTheme="minorEastAsia" w:cstheme="minorEastAsia"/>
          <w:b w:val="0"/>
          <w:bCs w:val="0"/>
          <w:sz w:val="32"/>
          <w:szCs w:val="32"/>
        </w:rPr>
        <w:t>万元，占全年支出</w:t>
      </w:r>
      <w:r>
        <w:rPr>
          <w:rFonts w:hint="eastAsia" w:asciiTheme="minorEastAsia" w:hAnsiTheme="minorEastAsia" w:eastAsiaTheme="minorEastAsia" w:cstheme="minorEastAsia"/>
          <w:b w:val="0"/>
          <w:bCs w:val="0"/>
          <w:sz w:val="32"/>
          <w:szCs w:val="32"/>
          <w:lang w:val="en-US" w:eastAsia="zh-CN"/>
        </w:rPr>
        <w:t>9.10</w:t>
      </w:r>
      <w:r>
        <w:rPr>
          <w:rFonts w:hint="eastAsia" w:asciiTheme="minorEastAsia" w:hAnsiTheme="minorEastAsia" w:eastAsiaTheme="minorEastAsia" w:cstheme="minorEastAsia"/>
          <w:b w:val="0"/>
          <w:bCs w:val="0"/>
          <w:sz w:val="32"/>
          <w:szCs w:val="32"/>
        </w:rPr>
        <w:t>%；对个人和家庭的补助支出</w:t>
      </w:r>
      <w:r>
        <w:rPr>
          <w:rFonts w:hint="eastAsia" w:asciiTheme="minorEastAsia" w:hAnsiTheme="minorEastAsia" w:eastAsiaTheme="minorEastAsia" w:cstheme="minorEastAsia"/>
          <w:b w:val="0"/>
          <w:bCs w:val="0"/>
          <w:sz w:val="32"/>
          <w:szCs w:val="32"/>
          <w:lang w:val="en-US" w:eastAsia="zh-CN"/>
        </w:rPr>
        <w:t>49.37</w:t>
      </w:r>
      <w:r>
        <w:rPr>
          <w:rFonts w:hint="eastAsia" w:asciiTheme="minorEastAsia" w:hAnsiTheme="minorEastAsia" w:eastAsiaTheme="minorEastAsia" w:cstheme="minorEastAsia"/>
          <w:b w:val="0"/>
          <w:bCs w:val="0"/>
          <w:sz w:val="32"/>
          <w:szCs w:val="32"/>
        </w:rPr>
        <w:t>万元，占全年支出</w:t>
      </w:r>
      <w:r>
        <w:rPr>
          <w:rFonts w:hint="eastAsia" w:asciiTheme="minorEastAsia" w:hAnsiTheme="minorEastAsia" w:eastAsiaTheme="minorEastAsia" w:cstheme="minorEastAsia"/>
          <w:b w:val="0"/>
          <w:bCs w:val="0"/>
          <w:sz w:val="32"/>
          <w:szCs w:val="32"/>
          <w:lang w:val="en-US" w:eastAsia="zh-CN"/>
        </w:rPr>
        <w:t>1</w:t>
      </w:r>
      <w:r>
        <w:rPr>
          <w:rFonts w:hint="eastAsia" w:asciiTheme="minorEastAsia" w:hAnsiTheme="minorEastAsia" w:eastAsiaTheme="minorEastAsia" w:cstheme="minorEastAsia"/>
          <w:b w:val="0"/>
          <w:bCs w:val="0"/>
          <w:sz w:val="32"/>
          <w:szCs w:val="32"/>
        </w:rPr>
        <w:t>.27%。</w:t>
      </w:r>
      <w:r>
        <w:rPr>
          <w:rFonts w:hint="eastAsia" w:asciiTheme="minorEastAsia" w:hAnsiTheme="minorEastAsia" w:eastAsiaTheme="minorEastAsia" w:cstheme="minorEastAsia"/>
          <w:sz w:val="32"/>
          <w:szCs w:val="32"/>
        </w:rPr>
        <w:t>资本性支出</w:t>
      </w:r>
      <w:r>
        <w:rPr>
          <w:rFonts w:hint="eastAsia" w:asciiTheme="minorEastAsia" w:hAnsiTheme="minorEastAsia" w:eastAsiaTheme="minorEastAsia" w:cstheme="minorEastAsia"/>
          <w:sz w:val="32"/>
          <w:szCs w:val="32"/>
          <w:lang w:val="en-US" w:eastAsia="zh-CN"/>
        </w:rPr>
        <w:t>5.95</w:t>
      </w:r>
      <w:r>
        <w:rPr>
          <w:rFonts w:hint="eastAsia" w:asciiTheme="minorEastAsia" w:hAnsiTheme="minorEastAsia" w:eastAsiaTheme="minorEastAsia" w:cstheme="minorEastAsia"/>
          <w:sz w:val="32"/>
          <w:szCs w:val="32"/>
        </w:rPr>
        <w:t>万元，占全年支出0.</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w:t>
      </w:r>
    </w:p>
    <w:p>
      <w:pPr>
        <w:widowControl/>
        <w:shd w:val="clear" w:color="auto" w:fill="FFFFFF"/>
        <w:spacing w:line="312" w:lineRule="auto"/>
        <w:ind w:firstLine="64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（二）专项支出</w:t>
      </w:r>
    </w:p>
    <w:p>
      <w:pPr>
        <w:widowControl/>
        <w:shd w:val="clear" w:color="auto" w:fill="FFFFFF"/>
        <w:spacing w:line="312" w:lineRule="auto"/>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我校全年项目支出</w:t>
      </w:r>
      <w:r>
        <w:rPr>
          <w:rFonts w:hint="eastAsia" w:asciiTheme="minorEastAsia" w:hAnsiTheme="minorEastAsia" w:eastAsiaTheme="minorEastAsia" w:cstheme="minorEastAsia"/>
          <w:sz w:val="32"/>
          <w:szCs w:val="32"/>
          <w:lang w:val="en-US" w:eastAsia="zh-CN"/>
        </w:rPr>
        <w:t>237.32</w:t>
      </w:r>
      <w:r>
        <w:rPr>
          <w:rFonts w:hint="eastAsia" w:asciiTheme="minorEastAsia" w:hAnsiTheme="minorEastAsia" w:eastAsiaTheme="minorEastAsia" w:cstheme="minorEastAsia"/>
          <w:sz w:val="32"/>
          <w:szCs w:val="32"/>
        </w:rPr>
        <w:t>万元 。其中普通教育支出</w:t>
      </w:r>
      <w:r>
        <w:rPr>
          <w:rFonts w:hint="eastAsia" w:asciiTheme="minorEastAsia" w:hAnsiTheme="minorEastAsia" w:eastAsiaTheme="minorEastAsia" w:cstheme="minorEastAsia"/>
          <w:sz w:val="32"/>
          <w:szCs w:val="32"/>
          <w:lang w:val="en-US" w:eastAsia="zh-CN"/>
        </w:rPr>
        <w:t>199.26</w:t>
      </w:r>
      <w:r>
        <w:rPr>
          <w:rFonts w:hint="eastAsia" w:asciiTheme="minorEastAsia" w:hAnsiTheme="minorEastAsia" w:eastAsiaTheme="minorEastAsia" w:cstheme="minorEastAsia"/>
          <w:sz w:val="32"/>
          <w:szCs w:val="32"/>
        </w:rPr>
        <w:t>万元，其他教育附加费安排的支出</w:t>
      </w:r>
      <w:r>
        <w:rPr>
          <w:rFonts w:hint="eastAsia" w:asciiTheme="minorEastAsia" w:hAnsiTheme="minorEastAsia" w:eastAsiaTheme="minorEastAsia" w:cstheme="minorEastAsia"/>
          <w:sz w:val="32"/>
          <w:szCs w:val="32"/>
          <w:lang w:val="en-US" w:eastAsia="zh-CN"/>
        </w:rPr>
        <w:t>31</w:t>
      </w:r>
      <w:r>
        <w:rPr>
          <w:rFonts w:hint="eastAsia" w:asciiTheme="minorEastAsia" w:hAnsiTheme="minorEastAsia" w:eastAsiaTheme="minorEastAsia" w:cstheme="minorEastAsia"/>
          <w:sz w:val="32"/>
          <w:szCs w:val="32"/>
        </w:rPr>
        <w:t>万元，其他优抚支出</w:t>
      </w:r>
      <w:r>
        <w:rPr>
          <w:rFonts w:hint="eastAsia" w:asciiTheme="minorEastAsia" w:hAnsiTheme="minorEastAsia" w:eastAsiaTheme="minorEastAsia" w:cstheme="minorEastAsia"/>
          <w:sz w:val="32"/>
          <w:szCs w:val="32"/>
          <w:lang w:val="en-US" w:eastAsia="zh-CN"/>
        </w:rPr>
        <w:t>7.06</w:t>
      </w:r>
      <w:r>
        <w:rPr>
          <w:rFonts w:hint="eastAsia" w:asciiTheme="minorEastAsia" w:hAnsiTheme="minorEastAsia" w:eastAsiaTheme="minorEastAsia" w:cstheme="minorEastAsia"/>
          <w:sz w:val="32"/>
          <w:szCs w:val="32"/>
        </w:rPr>
        <w:t>万元。</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（三）资产管理情况</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校财务管理制度健全，执行制度严格合规，会计核算符合相关规定，资金专款专用，资金支付依据和开支标准合法合规，严格执行政府采购。资产分为流动资产固定资产，具体包括：银行存款、其他应收款、固定资产。固定资产、办公家具和用品严格按照内部控制规范的《资产管理办法》、《政府采购预算》、《政府采购管理办法》进行配置和处置。我校严格按照财务管理的相关要求，建立了《固定资产管理办法》、《货币资金管理、应收款和无形资产》和《政府采购预算》及《政府采购管理办法》等固定资产和办公用品使用、审批、稽核的内部管理规范。</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2020年末我校资产原值总额</w:t>
      </w:r>
      <w:r>
        <w:rPr>
          <w:rFonts w:hint="eastAsia" w:asciiTheme="minorEastAsia" w:hAnsiTheme="minorEastAsia" w:eastAsiaTheme="minorEastAsia" w:cstheme="minorEastAsia"/>
          <w:sz w:val="32"/>
          <w:szCs w:val="32"/>
          <w:lang w:val="en-US" w:eastAsia="zh-CN"/>
        </w:rPr>
        <w:t>8868.41</w:t>
      </w:r>
      <w:r>
        <w:rPr>
          <w:rFonts w:hint="eastAsia" w:asciiTheme="minorEastAsia" w:hAnsiTheme="minorEastAsia" w:eastAsiaTheme="minorEastAsia" w:cstheme="minorEastAsia"/>
          <w:sz w:val="32"/>
          <w:szCs w:val="32"/>
        </w:rPr>
        <w:t>万元。</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三、部门专项组织实施情况</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按照市财政局预算科通知有关要求，及时完成相关库报送工作，按时完成2020年预算编制工作，并按时提交部门预算草案。按规定编制政府采购预算，预算编制全面、科学。</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2020年部门决算、绩效目标填报及年末结余结转都是严格按照市财政局的要求认真完成。</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财政拨款安排支出主要用于保障我校正常运转、完成日常工作任务以教学任务等相关工作。 基本支出用于保障我校正常运转的日常支出，包括基本工资、津贴补贴等人员经费以及办公费、印刷费、水电费、办公设备购置等日常公用经费和学生助学金等支出。项目支出，用于保障我校为完成特定发展目标，用于专项业务工作的经费支出。</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加强专项项目管理，我校就重点专项项目制定了《专项资金管理制度》等多项专项业务管理办法，各专项业务按照国家相关法律法规、主管部门相关文件精神、业务管理制度和专项资金管理办法实施，并按照相关质量控制体系要求实施专项项目，通过满意度调查，评价为优秀。</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四、单位整体支出绩效评价</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（一）经济效益评价</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资金投入进度正常；“三公”经费总体控制较好，未超本年预算和上年决算支出。预算管理方面，建立了《预决算管理办法》，制度执行总体较为有效，仍需进一步强化；资金使用管理需进一步加强。资产管理方面，建立了《固定资产管理办法》、《货币资金、应收款和无形资产管理办法》、《资产清查办法》等资产管理制度，定期进行了盘点和资产清理，总体执行较好。</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（二）效率性评价和有效性评价</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近年来在市委、市政府及上级相关部门的高度重视和关怀下，学校得到了长足发展，基础建设和基本设施趋于完善：根据2020年度部门整体支出状况的概述和分析，部门整体支出绩效情况如下：</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校的相关工程顺利完成，专款专用。项目预算和结算都经市财政投资评审办进行评审，严格控制成本，把成本降低到最低限度。根据学校实际情况，一般项目都在寒暑假进行，严格控制项目实施进度，不影响正常教学秩序，项目完成质量都是合格。接市财政局绩效自评工作通知，我校认真学习有关文件精神，组织财务、总务人员对照标准逐条予以自评，自我分析评价，总结经验找出不足，我们认为我校所有项目都在按规范走程序，有序进行，严格执行专款专用制度，无截留、挪用、擅自扩大资金使用范围，严格管理，会计核算真实规范。无任何违规现象，总的来说处于良好状态。</w:t>
      </w:r>
    </w:p>
    <w:p>
      <w:pPr>
        <w:widowControl/>
        <w:spacing w:line="312" w:lineRule="auto"/>
        <w:ind w:firstLine="4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五、存在的主要问题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645"/>
        <w:jc w:val="left"/>
        <w:rPr>
          <w:rFonts w:hint="eastAsia" w:asciiTheme="minorEastAsia" w:hAnsiTheme="minorEastAsia" w:eastAsiaTheme="minorEastAsia" w:cstheme="minorEastAsia"/>
          <w:b w:val="0"/>
          <w:bCs w:val="0"/>
          <w:i w:val="0"/>
          <w:iCs w:val="0"/>
          <w:caps w:val="0"/>
          <w:color w:val="555555"/>
          <w:spacing w:val="0"/>
          <w:sz w:val="32"/>
          <w:szCs w:val="32"/>
        </w:rPr>
      </w:pPr>
      <w:r>
        <w:rPr>
          <w:rFonts w:hint="eastAsia" w:asciiTheme="minorEastAsia" w:hAnsiTheme="minorEastAsia" w:eastAsiaTheme="minorEastAsia" w:cstheme="minorEastAsia"/>
          <w:b w:val="0"/>
          <w:bCs w:val="0"/>
          <w:i w:val="0"/>
          <w:iCs w:val="0"/>
          <w:caps w:val="0"/>
          <w:color w:val="555555"/>
          <w:spacing w:val="0"/>
          <w:kern w:val="0"/>
          <w:sz w:val="32"/>
          <w:szCs w:val="32"/>
          <w:shd w:val="clear" w:fill="FFFFFF"/>
          <w:lang w:val="en-US" w:eastAsia="zh-CN" w:bidi="ar"/>
        </w:rPr>
        <w:t>学校办学经费还不够充足，公用经费缺口较大，基础设施仍不完善；办学水平和人才培养质量有待进一步提升；管理水平和治理能力需要进一步提高。</w:t>
      </w:r>
    </w:p>
    <w:p>
      <w:pPr>
        <w:widowControl/>
        <w:spacing w:line="312" w:lineRule="auto"/>
        <w:ind w:firstLine="48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645"/>
        <w:jc w:val="left"/>
        <w:rPr>
          <w:rFonts w:hint="eastAsia" w:asciiTheme="minorEastAsia" w:hAnsiTheme="minorEastAsia" w:eastAsiaTheme="minorEastAsia" w:cstheme="minorEastAsia"/>
          <w:b w:val="0"/>
          <w:bCs w:val="0"/>
          <w:i w:val="0"/>
          <w:iCs w:val="0"/>
          <w:caps w:val="0"/>
          <w:color w:val="555555"/>
          <w:spacing w:val="0"/>
          <w:kern w:val="0"/>
          <w:sz w:val="32"/>
          <w:szCs w:val="32"/>
          <w:shd w:val="clear" w:fill="FFFFFF"/>
          <w:lang w:val="en-US" w:eastAsia="zh-CN" w:bidi="ar"/>
        </w:rPr>
      </w:pPr>
      <w:r>
        <w:rPr>
          <w:rFonts w:hint="eastAsia" w:asciiTheme="minorEastAsia" w:hAnsiTheme="minorEastAsia" w:eastAsiaTheme="minorEastAsia" w:cstheme="minorEastAsia"/>
          <w:b w:val="0"/>
          <w:bCs w:val="0"/>
          <w:i w:val="0"/>
          <w:iCs w:val="0"/>
          <w:caps w:val="0"/>
          <w:color w:val="555555"/>
          <w:spacing w:val="0"/>
          <w:kern w:val="0"/>
          <w:sz w:val="32"/>
          <w:szCs w:val="32"/>
          <w:shd w:val="clear" w:fill="FFFFFF"/>
          <w:lang w:val="en-US" w:eastAsia="zh-CN" w:bidi="ar"/>
        </w:rPr>
        <w:t>加大资金投入，加强整体规划设计，提升校园环境质量；大力引进高素质专业技能教师；更加注重校园文化，促进内涵建设。</w:t>
      </w:r>
    </w:p>
    <w:p>
      <w:pPr>
        <w:ind w:firstLine="640" w:firstLineChars="200"/>
        <w:jc w:val="left"/>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4E8D3"/>
    <w:multiLevelType w:val="singleLevel"/>
    <w:tmpl w:val="0004E8D3"/>
    <w:lvl w:ilvl="0" w:tentative="0">
      <w:start w:val="2"/>
      <w:numFmt w:val="chineseCounting"/>
      <w:suff w:val="nothing"/>
      <w:lvlText w:val="%1、"/>
      <w:lvlJc w:val="left"/>
      <w:rPr>
        <w:rFonts w:hint="eastAsia"/>
      </w:rPr>
    </w:lvl>
  </w:abstractNum>
  <w:abstractNum w:abstractNumId="1">
    <w:nsid w:val="1C1429ED"/>
    <w:multiLevelType w:val="singleLevel"/>
    <w:tmpl w:val="1C1429ED"/>
    <w:lvl w:ilvl="0" w:tentative="0">
      <w:start w:val="11"/>
      <w:numFmt w:val="chineseCounting"/>
      <w:suff w:val="nothing"/>
      <w:lvlText w:val="%1、"/>
      <w:lvlJc w:val="left"/>
      <w:rPr>
        <w:rFonts w:hint="eastAsia"/>
      </w:rPr>
    </w:lvl>
  </w:abstractNum>
  <w:abstractNum w:abstractNumId="2">
    <w:nsid w:val="79D214AD"/>
    <w:multiLevelType w:val="singleLevel"/>
    <w:tmpl w:val="79D214AD"/>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2NjYWY0NDFlNmY3YWVjMmFlMWExMWMzMDYzZTMifQ=="/>
  </w:docVars>
  <w:rsids>
    <w:rsidRoot w:val="004506F9"/>
    <w:rsid w:val="0002229B"/>
    <w:rsid w:val="000273BD"/>
    <w:rsid w:val="000415B7"/>
    <w:rsid w:val="00041E3F"/>
    <w:rsid w:val="00055DAA"/>
    <w:rsid w:val="00061F7B"/>
    <w:rsid w:val="000658A3"/>
    <w:rsid w:val="00074155"/>
    <w:rsid w:val="000A3F69"/>
    <w:rsid w:val="000E3EB2"/>
    <w:rsid w:val="00103957"/>
    <w:rsid w:val="00107C76"/>
    <w:rsid w:val="00152C6D"/>
    <w:rsid w:val="00162D39"/>
    <w:rsid w:val="001678BD"/>
    <w:rsid w:val="00181DC6"/>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622BE"/>
    <w:rsid w:val="0037197D"/>
    <w:rsid w:val="003768D5"/>
    <w:rsid w:val="003C47E6"/>
    <w:rsid w:val="003C4FC2"/>
    <w:rsid w:val="003E15D0"/>
    <w:rsid w:val="00416E61"/>
    <w:rsid w:val="0042790C"/>
    <w:rsid w:val="00442C47"/>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334A"/>
    <w:rsid w:val="006E5284"/>
    <w:rsid w:val="006F3EB5"/>
    <w:rsid w:val="00702E34"/>
    <w:rsid w:val="00704395"/>
    <w:rsid w:val="00717006"/>
    <w:rsid w:val="00717621"/>
    <w:rsid w:val="00720FF1"/>
    <w:rsid w:val="00727A53"/>
    <w:rsid w:val="00753EF9"/>
    <w:rsid w:val="007664CD"/>
    <w:rsid w:val="00770C9A"/>
    <w:rsid w:val="00775110"/>
    <w:rsid w:val="00787B42"/>
    <w:rsid w:val="007C4539"/>
    <w:rsid w:val="007F3657"/>
    <w:rsid w:val="00812ED5"/>
    <w:rsid w:val="008277D9"/>
    <w:rsid w:val="0084478C"/>
    <w:rsid w:val="0086638C"/>
    <w:rsid w:val="008A3E8D"/>
    <w:rsid w:val="009237C4"/>
    <w:rsid w:val="00944C48"/>
    <w:rsid w:val="00950252"/>
    <w:rsid w:val="00967F5D"/>
    <w:rsid w:val="0099504C"/>
    <w:rsid w:val="009A051C"/>
    <w:rsid w:val="009A0F95"/>
    <w:rsid w:val="009B3ADF"/>
    <w:rsid w:val="009C3B52"/>
    <w:rsid w:val="009E6817"/>
    <w:rsid w:val="009E6E9A"/>
    <w:rsid w:val="009E758E"/>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D4D7B"/>
    <w:rsid w:val="00CE04C3"/>
    <w:rsid w:val="00CE76A0"/>
    <w:rsid w:val="00D05F0E"/>
    <w:rsid w:val="00D148C6"/>
    <w:rsid w:val="00D17A8A"/>
    <w:rsid w:val="00D415BA"/>
    <w:rsid w:val="00D644EE"/>
    <w:rsid w:val="00D65238"/>
    <w:rsid w:val="00DD06FF"/>
    <w:rsid w:val="00DD5FE9"/>
    <w:rsid w:val="00E00C7A"/>
    <w:rsid w:val="00E37D6C"/>
    <w:rsid w:val="00E55B68"/>
    <w:rsid w:val="00E67BE6"/>
    <w:rsid w:val="00E754DF"/>
    <w:rsid w:val="00E8683C"/>
    <w:rsid w:val="00EA2B72"/>
    <w:rsid w:val="00F74360"/>
    <w:rsid w:val="00FB462F"/>
    <w:rsid w:val="00FE16FA"/>
    <w:rsid w:val="00FE328A"/>
    <w:rsid w:val="00FE6269"/>
    <w:rsid w:val="00FF2372"/>
    <w:rsid w:val="00FF55C1"/>
    <w:rsid w:val="02267F3A"/>
    <w:rsid w:val="08E36E8F"/>
    <w:rsid w:val="1B8D0AFF"/>
    <w:rsid w:val="1B963862"/>
    <w:rsid w:val="22436B9F"/>
    <w:rsid w:val="2D2D1661"/>
    <w:rsid w:val="2E973EF5"/>
    <w:rsid w:val="3119528F"/>
    <w:rsid w:val="32911914"/>
    <w:rsid w:val="35144198"/>
    <w:rsid w:val="39474496"/>
    <w:rsid w:val="3A1A1D87"/>
    <w:rsid w:val="3C6E467F"/>
    <w:rsid w:val="459D325C"/>
    <w:rsid w:val="4CEE62DB"/>
    <w:rsid w:val="500D264B"/>
    <w:rsid w:val="5B453452"/>
    <w:rsid w:val="5D0524EA"/>
    <w:rsid w:val="5DC068D9"/>
    <w:rsid w:val="5EE72B8A"/>
    <w:rsid w:val="5FC7384A"/>
    <w:rsid w:val="60CB12AB"/>
    <w:rsid w:val="625437CD"/>
    <w:rsid w:val="629F15B9"/>
    <w:rsid w:val="69F95898"/>
    <w:rsid w:val="70AA082C"/>
    <w:rsid w:val="725336C5"/>
    <w:rsid w:val="7CED4958"/>
    <w:rsid w:val="7DCD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customStyle="1" w:styleId="8">
    <w:name w:val="页眉 Char"/>
    <w:basedOn w:val="7"/>
    <w:link w:val="2"/>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8599</Words>
  <Characters>11200</Characters>
  <Lines>66</Lines>
  <Paragraphs>18</Paragraphs>
  <TotalTime>1</TotalTime>
  <ScaleCrop>false</ScaleCrop>
  <LinksUpToDate>false</LinksUpToDate>
  <CharactersWithSpaces>12083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何蔚</cp:lastModifiedBy>
  <cp:lastPrinted>2021-09-18T05:45:00Z</cp:lastPrinted>
  <dcterms:modified xsi:type="dcterms:W3CDTF">2022-08-19T18:54:45Z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BD1EF6737D0E49BAA1071423FD6F8D61</vt:lpwstr>
  </property>
</Properties>
</file>