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岳阳市第五中学部门决算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440" w:lineRule="exact"/>
        <w:rPr>
          <w:rFonts w:ascii="仿宋_GB2312" w:hAnsi="仿宋_GB2312" w:cs="仿宋_GB2312"/>
          <w:b/>
          <w:sz w:val="28"/>
          <w:szCs w:val="28"/>
        </w:rPr>
      </w:pPr>
      <w:r>
        <w:rPr>
          <w:rFonts w:hint="eastAsia"/>
          <w:b/>
          <w:sz w:val="28"/>
          <w:szCs w:val="28"/>
        </w:rPr>
        <w:t>第一部分岳阳市第五中学单位概况</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44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44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44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44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4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4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440" w:lineRule="exact"/>
        <w:jc w:val="left"/>
        <w:rPr>
          <w:rFonts w:ascii="仿宋_GB2312" w:hAnsi="仿宋_GB2312" w:cs="仿宋_GB2312"/>
          <w:color w:val="000000"/>
          <w:kern w:val="0"/>
          <w:sz w:val="28"/>
          <w:szCs w:val="28"/>
        </w:rPr>
      </w:pPr>
    </w:p>
    <w:p>
      <w:pPr>
        <w:autoSpaceDE w:val="0"/>
        <w:autoSpaceDN w:val="0"/>
        <w:adjustRightInd w:val="0"/>
        <w:spacing w:line="44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岳阳市第五中学单位概况</w:t>
      </w:r>
    </w:p>
    <w:p>
      <w:pPr>
        <w:jc w:val="center"/>
        <w:rPr>
          <w:sz w:val="72"/>
          <w:szCs w:val="7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（一）实施初、高中教育</w:t>
      </w:r>
    </w:p>
    <w:p>
      <w:pPr>
        <w:ind w:firstLine="800" w:firstLineChars="250"/>
        <w:jc w:val="left"/>
        <w:rPr>
          <w:rFonts w:asciiTheme="minorEastAsia" w:hAnsiTheme="minorEastAsia"/>
          <w:sz w:val="32"/>
          <w:szCs w:val="32"/>
        </w:rPr>
      </w:pPr>
      <w:r>
        <w:rPr>
          <w:rFonts w:hint="eastAsia" w:asciiTheme="minorEastAsia" w:hAnsiTheme="minorEastAsia"/>
          <w:sz w:val="32"/>
          <w:szCs w:val="32"/>
        </w:rPr>
        <w:t>（二）促进基础教育发展；初高中学历教育相关社会服务</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（一）内设机构设置。岳阳市第五中学单位内设机构包括：校长室、党政办公室、工会、教务处、政教处、后勤处、教研室、信息中心等。</w:t>
      </w:r>
    </w:p>
    <w:p>
      <w:pPr>
        <w:widowControl/>
        <w:spacing w:line="6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rPr>
        <w:t>（二）决算单位构成。岳阳市第五中学</w:t>
      </w:r>
      <w:bookmarkStart w:id="0" w:name="_GoBack"/>
      <w:bookmarkEnd w:id="0"/>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20年部门决算汇总公开单位构成包括：岳阳市第五中学单位本级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52"/>
          <w:szCs w:val="52"/>
        </w:rPr>
      </w:pPr>
      <w:r>
        <w:rPr>
          <w:rFonts w:hint="eastAsia"/>
          <w:sz w:val="52"/>
          <w:szCs w:val="5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2020年度收、支总计3903.88万元。与上年相比，增加30.66 万元，增长0.79%，主要是因为年终绩效奖增加。    </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本年收入合计2112.86万元，其中：财政拨款收入1865.86万元，占88.31%；上级补助收入0万元，占0%；事业收入247万元，占11.69%；经营收入0万元，占0%；附属单位上缴收入0万元，占0%；其他收入0万元，占0%。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本年支出合计3858.81万元，其中：基本支出3702.91万元，占95.96%；项目支出155.9万元，占4.04%；上缴上级支出0万元，占0%；经营支出0万元，占0%；对附属单位补助支出0万元，占0%。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ind w:left="480" w:hanging="480" w:hangingChars="1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2020年度财政拨款收、支总计3656.88万元，与上年相比，增加49.66</w:t>
      </w:r>
    </w:p>
    <w:p>
      <w:pPr>
        <w:pStyle w:val="11"/>
        <w:ind w:left="480" w:hanging="480" w:hangingChars="150"/>
        <w:rPr>
          <w:rFonts w:asciiTheme="minorEastAsia" w:hAnsiTheme="minorEastAsia" w:eastAsiaTheme="minorEastAsia"/>
          <w:sz w:val="32"/>
          <w:szCs w:val="32"/>
        </w:rPr>
      </w:pPr>
      <w:r>
        <w:rPr>
          <w:rFonts w:hint="eastAsia" w:asciiTheme="minorEastAsia" w:hAnsiTheme="minorEastAsia" w:eastAsiaTheme="minorEastAsia"/>
          <w:sz w:val="32"/>
          <w:szCs w:val="32"/>
        </w:rPr>
        <w:t>万元,增长1.38%，主要是因为增加年终绩效奖等。</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sz w:val="32"/>
          <w:szCs w:val="32"/>
        </w:rPr>
        <w:t>2020年度财政拨款支出3611.81万元，占本年支出合计的93.6 %。</w:t>
      </w:r>
      <w:r>
        <w:rPr>
          <w:rFonts w:hint="eastAsia" w:asciiTheme="minorEastAsia" w:hAnsiTheme="minorEastAsia" w:eastAsiaTheme="minorEastAsia"/>
          <w:color w:val="000000" w:themeColor="text1"/>
          <w:sz w:val="32"/>
          <w:szCs w:val="32"/>
        </w:rPr>
        <w:t>与上年相比，财政拨款支出增加</w:t>
      </w:r>
      <w:r>
        <w:rPr>
          <w:rFonts w:hint="eastAsia" w:asciiTheme="minorEastAsia" w:hAnsiTheme="minorEastAsia" w:eastAsiaTheme="minorEastAsia"/>
          <w:color w:val="000000" w:themeColor="text1"/>
          <w:sz w:val="32"/>
          <w:szCs w:val="32"/>
          <w:lang w:val="en-US" w:eastAsia="zh-CN"/>
        </w:rPr>
        <w:t>49.66</w:t>
      </w:r>
      <w:r>
        <w:rPr>
          <w:rFonts w:hint="eastAsia" w:asciiTheme="minorEastAsia" w:hAnsiTheme="minorEastAsia" w:eastAsiaTheme="minorEastAsia"/>
          <w:color w:val="000000" w:themeColor="text1"/>
          <w:sz w:val="32"/>
          <w:szCs w:val="32"/>
        </w:rPr>
        <w:t>万元，增长</w:t>
      </w:r>
      <w:r>
        <w:rPr>
          <w:rFonts w:hint="eastAsia" w:asciiTheme="minorEastAsia" w:hAnsiTheme="minorEastAsia" w:eastAsiaTheme="minorEastAsia"/>
          <w:color w:val="000000" w:themeColor="text1"/>
          <w:sz w:val="32"/>
          <w:szCs w:val="32"/>
          <w:lang w:val="en-US" w:eastAsia="zh-CN"/>
        </w:rPr>
        <w:t>1.38</w:t>
      </w:r>
      <w:r>
        <w:rPr>
          <w:rFonts w:hint="eastAsia" w:asciiTheme="minorEastAsia" w:hAnsiTheme="minorEastAsia" w:eastAsiaTheme="minorEastAsia"/>
          <w:color w:val="000000" w:themeColor="text1"/>
          <w:sz w:val="32"/>
          <w:szCs w:val="32"/>
        </w:rPr>
        <w:t>%，主要是因</w:t>
      </w:r>
      <w:r>
        <w:rPr>
          <w:rFonts w:hint="eastAsia" w:asciiTheme="minorEastAsia" w:hAnsiTheme="minorEastAsia" w:eastAsiaTheme="minorEastAsia"/>
          <w:color w:val="000000" w:themeColor="text1"/>
          <w:sz w:val="32"/>
          <w:szCs w:val="32"/>
          <w:lang w:val="en-US" w:eastAsia="zh-CN"/>
        </w:rPr>
        <w:t>为人员经费增加。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2020年度财政拨款支出3611.81万元，主要用于以下方面：教育</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3264.67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90.4</w:t>
      </w:r>
      <w:r>
        <w:rPr>
          <w:rFonts w:hint="eastAsia" w:asciiTheme="minorEastAsia" w:hAnsiTheme="minorEastAsia" w:eastAsiaTheme="minorEastAsia"/>
          <w:sz w:val="32"/>
          <w:szCs w:val="32"/>
        </w:rPr>
        <w:t>%；社会保障和就业</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148.35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%；卫生健康</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96.62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%；住房保障</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支出1</w:t>
      </w:r>
      <w:r>
        <w:rPr>
          <w:rFonts w:hint="eastAsia" w:asciiTheme="minorEastAsia" w:hAnsiTheme="minorEastAsia" w:eastAsiaTheme="minorEastAsia"/>
          <w:sz w:val="32"/>
          <w:szCs w:val="32"/>
          <w:lang w:val="en-US" w:eastAsia="zh-CN"/>
        </w:rPr>
        <w:t>02.17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.37万元，支出决算数为</w:t>
      </w:r>
      <w:r>
        <w:rPr>
          <w:rFonts w:hint="eastAsia" w:asciiTheme="minorEastAsia" w:hAnsiTheme="minorEastAsia" w:eastAsiaTheme="minorEastAsia"/>
          <w:sz w:val="32"/>
          <w:szCs w:val="32"/>
          <w:lang w:val="en-US" w:eastAsia="zh-CN"/>
        </w:rPr>
        <w:t>3611.81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235.24</w:t>
      </w:r>
      <w:r>
        <w:rPr>
          <w:rFonts w:hint="eastAsia" w:asciiTheme="minorEastAsia" w:hAnsiTheme="minorEastAsia" w:eastAsiaTheme="minorEastAsia"/>
          <w:sz w:val="32"/>
          <w:szCs w:val="32"/>
        </w:rPr>
        <w:t>%，其中：</w:t>
      </w:r>
    </w:p>
    <w:p>
      <w:pPr>
        <w:pStyle w:val="11"/>
        <w:numPr>
          <w:ilvl w:val="0"/>
          <w:numId w:val="0"/>
        </w:numPr>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lang w:val="en-US" w:eastAsia="zh-CN"/>
        </w:rPr>
        <w:t>1、</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val="en-US" w:eastAsia="zh-CN"/>
        </w:rPr>
        <w:t>高</w:t>
      </w:r>
      <w:r>
        <w:rPr>
          <w:rFonts w:hint="eastAsia" w:asciiTheme="minorEastAsia" w:hAnsiTheme="minorEastAsia" w:eastAsiaTheme="minorEastAsia"/>
          <w:b/>
          <w:bCs/>
          <w:color w:val="000000" w:themeColor="text1"/>
          <w:sz w:val="32"/>
          <w:szCs w:val="32"/>
        </w:rPr>
        <w:t>中教育（项）</w:t>
      </w:r>
    </w:p>
    <w:p>
      <w:pPr>
        <w:pStyle w:val="11"/>
        <w:ind w:firstLine="800" w:firstLineChars="250"/>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1174.36</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904.69</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77.03</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小</w:t>
      </w:r>
      <w:r>
        <w:rPr>
          <w:rFonts w:hint="eastAsia" w:asciiTheme="minorEastAsia" w:hAnsiTheme="minorEastAsia" w:eastAsiaTheme="minorEastAsia"/>
          <w:color w:val="000000" w:themeColor="text1"/>
          <w:sz w:val="32"/>
          <w:szCs w:val="32"/>
          <w:lang w:eastAsia="zh-CN"/>
        </w:rPr>
        <w:t>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val="en-US" w:eastAsia="zh-CN"/>
        </w:rPr>
        <w:t>生源减少。</w:t>
      </w:r>
    </w:p>
    <w:p>
      <w:pPr>
        <w:pStyle w:val="11"/>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11"/>
        <w:numPr>
          <w:ilvl w:val="0"/>
          <w:numId w:val="0"/>
        </w:numPr>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年初预算</w:t>
      </w:r>
      <w:r>
        <w:rPr>
          <w:rFonts w:hint="eastAsia" w:asciiTheme="minorEastAsia" w:hAnsiTheme="minorEastAsia" w:eastAsiaTheme="minorEastAsia"/>
          <w:color w:val="000000" w:themeColor="text1"/>
          <w:sz w:val="32"/>
          <w:szCs w:val="32"/>
          <w:lang w:val="en-US" w:eastAsia="zh-CN"/>
        </w:rPr>
        <w:t xml:space="preserve"> 0</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 xml:space="preserve"> 28.74</w:t>
      </w:r>
      <w:r>
        <w:rPr>
          <w:rFonts w:hint="eastAsia" w:asciiTheme="minorEastAsia" w:hAnsiTheme="minorEastAsia" w:eastAsiaTheme="minorEastAsia"/>
          <w:color w:val="000000" w:themeColor="text1"/>
          <w:sz w:val="32"/>
          <w:szCs w:val="32"/>
        </w:rPr>
        <w:t>万元，决算数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val="en-US" w:eastAsia="zh-CN"/>
        </w:rPr>
        <w:t>使用上年结余</w:t>
      </w:r>
      <w:r>
        <w:rPr>
          <w:rFonts w:hint="eastAsia" w:asciiTheme="minorEastAsia" w:hAnsiTheme="minorEastAsia" w:eastAsiaTheme="minorEastAsia"/>
          <w:color w:val="000000" w:themeColor="text1"/>
          <w:sz w:val="32"/>
          <w:szCs w:val="32"/>
          <w:lang w:eastAsia="zh-CN"/>
        </w:rPr>
        <w:t>。</w:t>
      </w:r>
    </w:p>
    <w:p>
      <w:pPr>
        <w:pStyle w:val="11"/>
        <w:numPr>
          <w:ilvl w:val="0"/>
          <w:numId w:val="0"/>
        </w:numPr>
        <w:rPr>
          <w:rFonts w:hint="eastAsia" w:ascii="宋体" w:hAnsi="宋体" w:eastAsia="宋体"/>
          <w:b/>
          <w:bCs/>
          <w:sz w:val="30"/>
          <w:szCs w:val="30"/>
        </w:rPr>
      </w:pPr>
      <w:r>
        <w:rPr>
          <w:rFonts w:hint="eastAsia" w:ascii="宋体" w:hAnsi="宋体" w:eastAsia="宋体"/>
          <w:b/>
          <w:bCs/>
          <w:sz w:val="30"/>
          <w:szCs w:val="30"/>
          <w:lang w:val="en-US" w:eastAsia="zh-CN"/>
        </w:rPr>
        <w:t>3、</w:t>
      </w:r>
      <w:r>
        <w:rPr>
          <w:rFonts w:hint="eastAsia" w:ascii="宋体" w:hAnsi="宋体" w:eastAsia="宋体"/>
          <w:b/>
          <w:bCs/>
          <w:sz w:val="30"/>
          <w:szCs w:val="30"/>
        </w:rPr>
        <w:t>教育支出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教育费附加安排的支出（款）其他教育费附加安排（项）</w:t>
      </w:r>
    </w:p>
    <w:p>
      <w:pPr>
        <w:pStyle w:val="11"/>
        <w:ind w:firstLine="750" w:firstLineChars="250"/>
        <w:rPr>
          <w:rFonts w:hint="eastAsia" w:ascii="宋体" w:hAnsi="宋体" w:eastAsia="宋体"/>
          <w:sz w:val="30"/>
          <w:szCs w:val="30"/>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26</w:t>
      </w:r>
      <w:r>
        <w:rPr>
          <w:rFonts w:hint="eastAsia" w:ascii="宋体" w:hAnsi="宋体" w:eastAsia="宋体"/>
          <w:sz w:val="30"/>
          <w:szCs w:val="30"/>
        </w:rPr>
        <w:t>万元，支出决算为</w:t>
      </w:r>
      <w:r>
        <w:rPr>
          <w:rFonts w:hint="eastAsia" w:ascii="宋体" w:hAnsi="宋体" w:eastAsia="宋体"/>
          <w:sz w:val="30"/>
          <w:szCs w:val="30"/>
          <w:lang w:val="en-US" w:eastAsia="zh-CN"/>
        </w:rPr>
        <w:t>2331.25</w:t>
      </w:r>
      <w:r>
        <w:rPr>
          <w:rFonts w:hint="eastAsia" w:ascii="宋体" w:hAnsi="宋体" w:eastAsia="宋体"/>
          <w:sz w:val="30"/>
          <w:szCs w:val="30"/>
        </w:rPr>
        <w:t>万元，完成年初预算</w:t>
      </w:r>
      <w:r>
        <w:rPr>
          <w:rFonts w:hint="eastAsia" w:ascii="宋体" w:hAnsi="宋体" w:eastAsia="宋体"/>
          <w:sz w:val="30"/>
          <w:szCs w:val="30"/>
          <w:lang w:val="en-US" w:eastAsia="zh-CN"/>
        </w:rPr>
        <w:t>896.63</w:t>
      </w:r>
      <w:r>
        <w:rPr>
          <w:rFonts w:hint="eastAsia" w:ascii="宋体" w:hAnsi="宋体" w:eastAsia="宋体"/>
          <w:sz w:val="30"/>
          <w:szCs w:val="30"/>
        </w:rPr>
        <w:t>%，</w:t>
      </w:r>
      <w:r>
        <w:rPr>
          <w:rFonts w:hint="eastAsia" w:ascii="宋体" w:hAnsi="宋体" w:eastAsia="宋体"/>
          <w:sz w:val="30"/>
          <w:szCs w:val="30"/>
          <w:lang w:val="en-US" w:eastAsia="zh-CN"/>
        </w:rPr>
        <w:t>决算数大于年初预算数的原因是：工资调标和财政追加安排绩效考评、平安建设奖励。</w:t>
      </w:r>
    </w:p>
    <w:p>
      <w:pPr>
        <w:pStyle w:val="11"/>
        <w:numPr>
          <w:ilvl w:val="0"/>
          <w:numId w:val="0"/>
        </w:numPr>
        <w:rPr>
          <w:rFonts w:ascii="宋体" w:hAnsi="宋体" w:eastAsia="宋体"/>
          <w:b/>
          <w:bCs/>
          <w:sz w:val="30"/>
          <w:szCs w:val="30"/>
        </w:rPr>
      </w:pPr>
      <w:r>
        <w:rPr>
          <w:rFonts w:hint="eastAsia" w:ascii="宋体" w:hAnsi="宋体" w:eastAsia="宋体"/>
          <w:b/>
          <w:bCs/>
          <w:sz w:val="30"/>
          <w:szCs w:val="30"/>
          <w:lang w:val="en-US" w:eastAsia="zh-CN"/>
        </w:rPr>
        <w:t>4、</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行政事业单位养老支出（款）机关事业单</w:t>
      </w:r>
    </w:p>
    <w:p>
      <w:pPr>
        <w:pStyle w:val="11"/>
        <w:numPr>
          <w:ilvl w:val="0"/>
          <w:numId w:val="0"/>
        </w:numPr>
        <w:rPr>
          <w:rFonts w:ascii="宋体" w:hAnsi="宋体" w:eastAsia="宋体"/>
          <w:b/>
          <w:bCs/>
          <w:sz w:val="30"/>
          <w:szCs w:val="30"/>
        </w:rPr>
      </w:pPr>
      <w:r>
        <w:rPr>
          <w:rFonts w:hint="eastAsia" w:ascii="宋体" w:hAnsi="宋体" w:eastAsia="宋体"/>
          <w:b/>
          <w:bCs/>
          <w:sz w:val="30"/>
          <w:szCs w:val="30"/>
          <w:lang w:val="en-US" w:eastAsia="zh-CN"/>
        </w:rPr>
        <w:t>位基本养老保险缴费支出（项）</w:t>
      </w:r>
    </w:p>
    <w:p>
      <w:pPr>
        <w:pStyle w:val="11"/>
        <w:numPr>
          <w:ilvl w:val="0"/>
          <w:numId w:val="0"/>
        </w:numPr>
        <w:ind w:firstLine="600" w:firstLineChars="200"/>
        <w:rPr>
          <w:rFonts w:hint="eastAsia" w:asciiTheme="minorEastAsia" w:hAnsiTheme="minorEastAsia" w:eastAsiaTheme="minorEastAsia"/>
          <w:color w:val="000000" w:themeColor="text1"/>
          <w:sz w:val="32"/>
          <w:szCs w:val="32"/>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136.22</w:t>
      </w:r>
      <w:r>
        <w:rPr>
          <w:rFonts w:hint="eastAsia" w:ascii="宋体" w:hAnsi="宋体" w:eastAsia="宋体"/>
          <w:sz w:val="30"/>
          <w:szCs w:val="30"/>
        </w:rPr>
        <w:t>万元，支出决算为</w:t>
      </w:r>
      <w:r>
        <w:rPr>
          <w:rFonts w:hint="eastAsia" w:ascii="宋体" w:hAnsi="宋体" w:eastAsia="宋体"/>
          <w:sz w:val="30"/>
          <w:szCs w:val="30"/>
          <w:lang w:val="en-US" w:eastAsia="zh-CN"/>
        </w:rPr>
        <w:t>136.22</w:t>
      </w:r>
      <w:r>
        <w:rPr>
          <w:rFonts w:hint="eastAsia" w:ascii="宋体" w:hAnsi="宋体" w:eastAsia="宋体"/>
          <w:sz w:val="30"/>
          <w:szCs w:val="30"/>
        </w:rPr>
        <w:t>万元，完成年初预算的</w:t>
      </w:r>
      <w:r>
        <w:rPr>
          <w:rFonts w:hint="eastAsia" w:ascii="宋体" w:hAnsi="宋体" w:eastAsia="宋体"/>
          <w:sz w:val="30"/>
          <w:szCs w:val="30"/>
          <w:lang w:val="en-US" w:eastAsia="zh-CN"/>
        </w:rPr>
        <w:t>100</w:t>
      </w:r>
      <w:r>
        <w:rPr>
          <w:rFonts w:hint="eastAsia" w:ascii="宋体" w:hAnsi="宋体" w:eastAsia="宋体"/>
          <w:sz w:val="30"/>
          <w:szCs w:val="30"/>
        </w:rPr>
        <w:t>%</w:t>
      </w:r>
      <w:r>
        <w:rPr>
          <w:rFonts w:hint="eastAsia" w:ascii="宋体" w:hAnsi="宋体" w:eastAsia="宋体"/>
          <w:sz w:val="30"/>
          <w:szCs w:val="30"/>
          <w:lang w:eastAsia="zh-CN"/>
        </w:rPr>
        <w:t>。</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1"/>
        <w:numPr>
          <w:ilvl w:val="0"/>
          <w:numId w:val="0"/>
        </w:numPr>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5、</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抚恤（款）其他优抚支出（项）</w:t>
      </w:r>
    </w:p>
    <w:p>
      <w:pPr>
        <w:pStyle w:val="11"/>
        <w:ind w:firstLine="750" w:firstLineChars="250"/>
        <w:rPr>
          <w:rFonts w:hint="eastAsia" w:ascii="宋体" w:hAnsi="宋体" w:eastAsia="宋体"/>
          <w:sz w:val="30"/>
          <w:szCs w:val="30"/>
          <w:lang w:val="en-US" w:eastAsia="zh-CN"/>
        </w:rPr>
      </w:pPr>
      <w:r>
        <w:rPr>
          <w:rFonts w:hint="eastAsia" w:ascii="宋体" w:hAnsi="宋体" w:eastAsia="宋体"/>
          <w:sz w:val="30"/>
          <w:szCs w:val="30"/>
          <w:lang w:val="en-US" w:eastAsia="zh-CN"/>
        </w:rPr>
        <w:t>年初预算为0万元，支出决算为12.13万元，决算数大于年初预算数的主要原因是：财政追加安排本年退休职工抚恤金支出。</w:t>
      </w:r>
    </w:p>
    <w:p>
      <w:pPr>
        <w:pStyle w:val="11"/>
        <w:numPr>
          <w:ilvl w:val="0"/>
          <w:numId w:val="0"/>
        </w:numPr>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6、</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11"/>
        <w:numPr>
          <w:ilvl w:val="0"/>
          <w:numId w:val="0"/>
        </w:numPr>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63.07</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63.07</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1"/>
        <w:numPr>
          <w:ilvl w:val="0"/>
          <w:numId w:val="0"/>
        </w:numPr>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7、</w:t>
      </w:r>
      <w:r>
        <w:rPr>
          <w:rFonts w:hint="eastAsia" w:asciiTheme="minorEastAsia" w:hAnsiTheme="minorEastAsia" w:eastAsiaTheme="minorEastAsia"/>
          <w:b/>
          <w:bCs/>
          <w:color w:val="000000" w:themeColor="text1"/>
          <w:sz w:val="32"/>
          <w:szCs w:val="32"/>
          <w:lang w:val="en-US"/>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rPr>
        <w:t>（项）</w:t>
      </w:r>
    </w:p>
    <w:p>
      <w:pPr>
        <w:pStyle w:val="11"/>
        <w:numPr>
          <w:ilvl w:val="0"/>
          <w:numId w:val="0"/>
        </w:numPr>
        <w:ind w:firstLine="640" w:firstLineChars="200"/>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 xml:space="preserve"> 33.55</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 xml:space="preserve"> 33.55</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w:t>
      </w:r>
    </w:p>
    <w:p>
      <w:pPr>
        <w:pStyle w:val="11"/>
        <w:numPr>
          <w:ilvl w:val="0"/>
          <w:numId w:val="0"/>
        </w:numPr>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1"/>
        <w:numPr>
          <w:ilvl w:val="0"/>
          <w:numId w:val="0"/>
        </w:numP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8、</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102.17</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102.17</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3455.91万元，其中：人员经费1565.86万元，占基本支出的45.31%,主要包括基本工资547.19万元、绩效工资578.36万元、机关事业单位基本养老保险缴费136.22万元，职工基本医疗保险缴费63.07万元，公务员医疗补助缴费33.55万元，其他社会保障缴费5.88万元，住房公积金102.17万元，其他工资福利支出0.88万元，抚恤金1.7万元，生活补助95.01万元，其他对个人和家庭的补助1.82万元。公用经费1890.05万元，占基本支出的54.69%，主要包括办公费14.37万元，印刷费6.27万元，水费17.08万元，电费29.11万元，邮电费0.62万元，物业管理费13.59元，差旅费4.93万元，维修费5.74万元，培训费3.23万元，公务接待费1.56万元，专用材料费161.54万元，劳务费5.54万元，工会经费17.41万元，其他商品和服务支出0.42万元，其他资本性支出1608.64万元。</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万元，支出决算为1.56万元，完成预算的</w:t>
      </w:r>
      <w:r>
        <w:rPr>
          <w:rFonts w:hint="eastAsia" w:asciiTheme="minorEastAsia" w:hAnsiTheme="minorEastAsia" w:eastAsiaTheme="minorEastAsia"/>
          <w:sz w:val="32"/>
          <w:szCs w:val="32"/>
          <w:lang w:val="en-US" w:eastAsia="zh-CN"/>
        </w:rPr>
        <w:t>31.2</w:t>
      </w:r>
      <w:r>
        <w:rPr>
          <w:rFonts w:hint="eastAsia" w:asciiTheme="minorEastAsia" w:hAnsiTheme="minorEastAsia" w:eastAsiaTheme="minorEastAsia"/>
          <w:sz w:val="32"/>
          <w:szCs w:val="32"/>
        </w:rPr>
        <w:t>%，其中：</w:t>
      </w:r>
    </w:p>
    <w:p>
      <w:pPr>
        <w:pStyle w:val="11"/>
        <w:ind w:firstLine="960" w:firstLineChars="300"/>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公务接待费支出预算为5万元，支出决算为1.56万元，完成预算的</w:t>
      </w:r>
      <w:r>
        <w:rPr>
          <w:rFonts w:hint="eastAsia" w:asciiTheme="minorEastAsia" w:hAnsiTheme="minorEastAsia" w:eastAsiaTheme="minorEastAsia"/>
          <w:sz w:val="32"/>
          <w:szCs w:val="32"/>
          <w:lang w:val="en-US" w:eastAsia="zh-CN"/>
        </w:rPr>
        <w:t>31.2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单位厉行节约，严控</w:t>
      </w:r>
      <w:r>
        <w:rPr>
          <w:rFonts w:hint="eastAsia" w:asciiTheme="minorEastAsia" w:hAnsiTheme="minorEastAsia" w:eastAsiaTheme="minorEastAsia"/>
          <w:sz w:val="32"/>
          <w:szCs w:val="32"/>
        </w:rPr>
        <w:t>公务招待</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，与上年相比减少0.38万元，减少的主要原因是</w:t>
      </w:r>
      <w:r>
        <w:rPr>
          <w:rFonts w:hint="eastAsia" w:asciiTheme="minorEastAsia" w:hAnsiTheme="minorEastAsia" w:eastAsiaTheme="minorEastAsia"/>
          <w:sz w:val="32"/>
          <w:szCs w:val="32"/>
          <w:lang w:val="en-US" w:eastAsia="zh-CN"/>
        </w:rPr>
        <w:t>单位厉行节约，持续压减</w:t>
      </w:r>
      <w:r>
        <w:rPr>
          <w:rFonts w:hint="eastAsia" w:asciiTheme="minorEastAsia" w:hAnsiTheme="minorEastAsia" w:eastAsiaTheme="minorEastAsia"/>
          <w:sz w:val="32"/>
          <w:szCs w:val="32"/>
        </w:rPr>
        <w:t>公务招待</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w:t>
      </w:r>
    </w:p>
    <w:p>
      <w:pPr>
        <w:numPr>
          <w:ilvl w:val="0"/>
          <w:numId w:val="0"/>
        </w:numPr>
        <w:ind w:leftChars="300"/>
        <w:rPr>
          <w:rFonts w:hint="eastAsia"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p>
    <w:p>
      <w:pPr>
        <w:numPr>
          <w:ilvl w:val="0"/>
          <w:numId w:val="0"/>
        </w:numPr>
        <w:rPr>
          <w:rFonts w:hint="eastAsia" w:ascii="宋体" w:hAnsi="宋体" w:eastAsia="宋体"/>
          <w:bCs/>
          <w:sz w:val="32"/>
          <w:szCs w:val="32"/>
        </w:rPr>
      </w:pPr>
      <w:r>
        <w:rPr>
          <w:rFonts w:hint="eastAsia" w:ascii="宋体" w:hAnsi="宋体" w:eastAsia="宋体"/>
          <w:bCs/>
          <w:sz w:val="32"/>
          <w:szCs w:val="32"/>
          <w:lang w:val="en-US" w:eastAsia="zh-CN"/>
        </w:rPr>
        <w:t>决算数与预算数一致为0的主要原因是单位无公车，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2020年度“三公”经费财政拨款支出决算中，公务接待费支出决算1.56万元，占100%,因公出国（境）费支出决算0万元，占0%,公务用车购置费及运行维护费支出决算0万元，占0%。其中：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left="315" w:leftChars="150"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2、公务接待费支出决算为1.56万元，全年共接待来访团组40 个、来宾</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400人次，主要是教研活动发生的接待支出。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w:t>
      </w:r>
      <w:r>
        <w:rPr>
          <w:rFonts w:hint="eastAsia" w:ascii="宋体" w:hAnsi="宋体"/>
          <w:sz w:val="32"/>
          <w:szCs w:val="32"/>
        </w:rPr>
        <w:t>公务用车购置费及运行维护费支出决算为0万元，其中：公务用车购置费0万元，</w:t>
      </w:r>
      <w:r>
        <w:rPr>
          <w:rFonts w:hint="eastAsia" w:ascii="宋体" w:hAnsi="宋体"/>
          <w:sz w:val="32"/>
          <w:szCs w:val="32"/>
          <w:lang w:val="en-US" w:eastAsia="zh-CN"/>
        </w:rPr>
        <w:t>单位本级</w:t>
      </w:r>
      <w:r>
        <w:rPr>
          <w:rFonts w:hint="eastAsia" w:ascii="宋体" w:hAnsi="宋体"/>
          <w:sz w:val="32"/>
          <w:szCs w:val="32"/>
        </w:rPr>
        <w:t>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2020年度政府性基金预算财政拨款收入0万元；年初结转和结余0万元；支出0万元，其中基本支出0万元，项目支出0万元；年末结转和结余0万元。本单位无政府性基金收支</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九、国有资本经营预算财政拨款支出决算情况</w:t>
      </w:r>
    </w:p>
    <w:p>
      <w:pPr>
        <w:pStyle w:val="11"/>
        <w:ind w:firstLine="648"/>
        <w:rPr>
          <w:rFonts w:asciiTheme="minorEastAsia" w:hAnsiTheme="minorEastAsia" w:eastAsiaTheme="minorEastAsia"/>
          <w:sz w:val="32"/>
          <w:szCs w:val="32"/>
        </w:rPr>
      </w:pPr>
      <w:r>
        <w:rPr>
          <w:rFonts w:hint="eastAsia" w:asciiTheme="minorEastAsia" w:hAnsiTheme="minorEastAsia" w:eastAsiaTheme="minorEastAsia"/>
          <w:sz w:val="32"/>
          <w:szCs w:val="32"/>
        </w:rPr>
        <w:t>2020年度国有资本经营预算财政拨款支出0万元，其中基本支出0万元，项目支出0万元。岳阳市第五中学无国有资本经营预算财政拨款支出</w:t>
      </w:r>
      <w:r>
        <w:rPr>
          <w:rFonts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十、关于机关运行经费支出说明</w:t>
      </w:r>
    </w:p>
    <w:p>
      <w:pPr>
        <w:pStyle w:val="11"/>
        <w:ind w:firstLine="640" w:firstLineChars="200"/>
        <w:rPr>
          <w:rFonts w:hint="eastAsia" w:ascii="宋体" w:hAnsi="宋体" w:eastAsia="宋体"/>
          <w:sz w:val="32"/>
          <w:szCs w:val="32"/>
          <w:lang w:eastAsia="zh-CN"/>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11"/>
        <w:rPr>
          <w:rFonts w:hAnsi="黑体"/>
          <w:b/>
          <w:sz w:val="32"/>
          <w:szCs w:val="32"/>
        </w:rPr>
      </w:pPr>
      <w:r>
        <w:rPr>
          <w:rFonts w:hint="eastAsia" w:hAnsi="黑体"/>
          <w:b/>
          <w:sz w:val="32"/>
          <w:szCs w:val="32"/>
        </w:rPr>
        <w:t>十一、一般性支出情况</w:t>
      </w:r>
    </w:p>
    <w:p>
      <w:pPr>
        <w:widowControl/>
        <w:shd w:val="clear" w:color="auto" w:fill="FFFFFF"/>
        <w:ind w:firstLine="640" w:firstLineChars="200"/>
        <w:rPr>
          <w:rFonts w:ascii="宋体" w:hAnsi="宋体"/>
          <w:color w:val="000000"/>
          <w:sz w:val="32"/>
          <w:szCs w:val="32"/>
        </w:rPr>
      </w:pPr>
      <w:r>
        <w:rPr>
          <w:rFonts w:hint="eastAsia" w:ascii="宋体" w:hAnsi="宋体" w:cs="黑体"/>
          <w:color w:val="000000"/>
          <w:kern w:val="0"/>
          <w:sz w:val="32"/>
          <w:szCs w:val="32"/>
        </w:rPr>
        <w:t>2020年本部门开支会议费0万元</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未召开会议，人数0人</w:t>
      </w:r>
      <w:r>
        <w:rPr>
          <w:rFonts w:hint="eastAsia" w:ascii="宋体" w:hAnsi="宋体" w:cs="黑体"/>
          <w:color w:val="000000"/>
          <w:kern w:val="0"/>
          <w:sz w:val="32"/>
          <w:szCs w:val="32"/>
        </w:rPr>
        <w:t>；开支培训费</w:t>
      </w:r>
      <w:r>
        <w:rPr>
          <w:rFonts w:hint="eastAsia" w:ascii="宋体" w:hAnsi="宋体" w:cs="黑体"/>
          <w:color w:val="000000"/>
          <w:kern w:val="0"/>
          <w:sz w:val="32"/>
          <w:szCs w:val="32"/>
          <w:lang w:val="en-US" w:eastAsia="zh-CN"/>
        </w:rPr>
        <w:t>3.23</w:t>
      </w:r>
      <w:r>
        <w:rPr>
          <w:rFonts w:hint="eastAsia" w:ascii="宋体" w:hAnsi="宋体" w:cs="黑体"/>
          <w:color w:val="000000"/>
          <w:kern w:val="0"/>
          <w:sz w:val="32"/>
          <w:szCs w:val="32"/>
        </w:rPr>
        <w:t>万元，用于开展教师培训</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人数30人，内容为教师</w:t>
      </w:r>
      <w:r>
        <w:rPr>
          <w:rFonts w:hint="eastAsia" w:asciiTheme="minorEastAsia" w:hAnsiTheme="minorEastAsia" w:eastAsiaTheme="minorEastAsia"/>
          <w:sz w:val="32"/>
          <w:szCs w:val="32"/>
        </w:rPr>
        <w:t>外出学习交流</w:t>
      </w:r>
      <w:r>
        <w:rPr>
          <w:rFonts w:hint="eastAsia" w:ascii="宋体" w:hAnsi="宋体" w:cs="黑体"/>
          <w:color w:val="000000"/>
          <w:kern w:val="0"/>
          <w:sz w:val="32"/>
          <w:szCs w:val="32"/>
          <w:lang w:val="en-US" w:eastAsia="zh-CN"/>
        </w:rPr>
        <w:t>；未</w:t>
      </w:r>
      <w:r>
        <w:rPr>
          <w:rFonts w:hint="eastAsia" w:ascii="宋体" w:hAnsi="宋体" w:cs="黑体"/>
          <w:color w:val="000000"/>
          <w:kern w:val="0"/>
          <w:sz w:val="32"/>
          <w:szCs w:val="32"/>
        </w:rPr>
        <w:t>举办节庆、晚会、论坛、赛事活动</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开支0万元。</w:t>
      </w:r>
    </w:p>
    <w:p>
      <w:pPr>
        <w:pStyle w:val="11"/>
        <w:rPr>
          <w:rFonts w:hAnsi="黑体"/>
          <w:b/>
          <w:sz w:val="32"/>
          <w:szCs w:val="32"/>
        </w:rPr>
      </w:pPr>
      <w:r>
        <w:rPr>
          <w:rFonts w:hint="eastAsia" w:hAnsi="黑体"/>
          <w:b/>
          <w:sz w:val="32"/>
          <w:szCs w:val="32"/>
        </w:rPr>
        <w:t>十二、关于政府采购支出说明</w:t>
      </w:r>
    </w:p>
    <w:p>
      <w:pPr>
        <w:pStyle w:val="11"/>
        <w:ind w:firstLine="640"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1"/>
        <w:rPr>
          <w:rFonts w:hAnsi="黑体"/>
          <w:b/>
          <w:sz w:val="32"/>
          <w:szCs w:val="32"/>
        </w:rPr>
      </w:pPr>
      <w:r>
        <w:rPr>
          <w:rFonts w:hint="eastAsia" w:hAnsi="黑体"/>
          <w:b/>
          <w:sz w:val="32"/>
          <w:szCs w:val="32"/>
        </w:rPr>
        <w:t>十四、关于2020年度预算绩效情况的说明</w:t>
      </w:r>
    </w:p>
    <w:p>
      <w:pPr>
        <w:pStyle w:val="11"/>
        <w:ind w:firstLine="640" w:firstLineChars="200"/>
        <w:rPr>
          <w:rFonts w:hint="default" w:hAnsi="黑体"/>
          <w:b/>
          <w:sz w:val="32"/>
          <w:szCs w:val="32"/>
          <w:lang w:val="en-US"/>
        </w:rPr>
      </w:pPr>
      <w:r>
        <w:rPr>
          <w:rFonts w:hint="eastAsia" w:ascii="宋体" w:hAnsi="宋体" w:eastAsia="宋体" w:cs="黑体"/>
          <w:color w:val="000000"/>
          <w:kern w:val="0"/>
          <w:sz w:val="32"/>
          <w:szCs w:val="32"/>
          <w:lang w:val="en-US" w:eastAsia="zh-CN" w:bidi="ar-SA"/>
        </w:rPr>
        <w:t>2020年，本部门紧紧围绕市教体局的中心工作，预期绩效目标全部完成。详情见第五部分附件。</w:t>
      </w:r>
    </w:p>
    <w:p>
      <w:pPr>
        <w:pStyle w:val="11"/>
        <w:ind w:firstLine="640" w:firstLineChars="200"/>
        <w:rPr>
          <w:rFonts w:asciiTheme="minorEastAsia" w:hAnsiTheme="minorEastAsia" w:eastAsiaTheme="minorEastAsia"/>
          <w:sz w:val="32"/>
          <w:szCs w:val="3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jc w:val="left"/>
        <w:rPr>
          <w:rFonts w:ascii="宋体" w:hAnsi="宋体" w:eastAsia="宋体" w:cs="黑体"/>
          <w:color w:val="000000"/>
          <w:kern w:val="0"/>
          <w:sz w:val="32"/>
          <w:szCs w:val="32"/>
        </w:rPr>
      </w:pPr>
      <w:r>
        <w:rPr>
          <w:rFonts w:hint="eastAsia" w:ascii="黑体" w:eastAsia="黑体" w:cs="黑体"/>
          <w:b/>
          <w:color w:val="000000"/>
          <w:kern w:val="0"/>
          <w:sz w:val="32"/>
          <w:szCs w:val="32"/>
        </w:rPr>
        <w:t>一、机关运行经费：</w:t>
      </w:r>
      <w:r>
        <w:rPr>
          <w:rFonts w:hint="eastAsia" w:ascii="宋体" w:hAnsi="宋体" w:eastAsia="宋体" w:cs="黑体"/>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二、“三公”经费：</w:t>
      </w:r>
      <w:r>
        <w:rPr>
          <w:rFonts w:hint="eastAsia" w:cs="黑体" w:asciiTheme="minorEastAsia" w:hAnsiTheme="minorEastAsia"/>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ascii="黑体" w:eastAsia="黑体" w:cs="黑体"/>
          <w:color w:val="000000"/>
          <w:kern w:val="0"/>
          <w:sz w:val="32"/>
          <w:szCs w:val="32"/>
        </w:rPr>
      </w:pPr>
      <w:r>
        <w:rPr>
          <w:rFonts w:hint="eastAsia" w:ascii="黑体" w:eastAsia="黑体" w:cs="黑体"/>
          <w:b/>
          <w:color w:val="000000"/>
          <w:kern w:val="0"/>
          <w:sz w:val="32"/>
          <w:szCs w:val="32"/>
        </w:rPr>
        <w:t>三、财政拨款收入：</w:t>
      </w:r>
      <w:r>
        <w:rPr>
          <w:rFonts w:hint="eastAsia" w:cs="黑体" w:asciiTheme="minorEastAsia" w:hAnsiTheme="minorEastAsia"/>
          <w:color w:val="000000"/>
          <w:kern w:val="0"/>
          <w:sz w:val="32"/>
          <w:szCs w:val="32"/>
        </w:rPr>
        <w:t>指本级财政当年拨付的资金。</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四、政府性基金：</w:t>
      </w:r>
      <w:r>
        <w:rPr>
          <w:rFonts w:hint="eastAsia" w:cs="黑体" w:asciiTheme="minorEastAsia" w:hAnsiTheme="minorEastAsia"/>
          <w:color w:val="000000"/>
          <w:kern w:val="0"/>
          <w:sz w:val="32"/>
          <w:szCs w:val="32"/>
        </w:rPr>
        <w:t>指各级政府及其所属部门根据法律、国家行政法规和中共中央、国务院有关文件的规定，为支持某项事业发展，按照国家规定程序批准，向公民、法人和其他组织征收的具有专项用途的资金。</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五、国有资本经营预算：</w:t>
      </w:r>
      <w:r>
        <w:rPr>
          <w:rFonts w:hint="eastAsia" w:cs="黑体" w:asciiTheme="minorEastAsia" w:hAnsiTheme="minorEastAsia"/>
          <w:color w:val="000000"/>
          <w:kern w:val="0"/>
          <w:sz w:val="32"/>
          <w:szCs w:val="32"/>
        </w:rPr>
        <w:t>国家以所有者身份对国有资本实行存量调整和增量分配而发生的各项收支预算，是政府预算的重要组成部分。</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六、教育支出（类）：</w:t>
      </w:r>
      <w:r>
        <w:rPr>
          <w:rFonts w:hint="eastAsia" w:cs="黑体" w:asciiTheme="minorEastAsia" w:hAnsiTheme="minorEastAsia"/>
          <w:color w:val="000000"/>
          <w:kern w:val="0"/>
          <w:sz w:val="32"/>
          <w:szCs w:val="32"/>
        </w:rPr>
        <w:t>是指用于政府教育事务支出，包括保障机构正常运转、完成日常和特定的工作任务或事业发展目标的支出。</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七、社会保障和就业支出（类）：</w:t>
      </w:r>
      <w:r>
        <w:rPr>
          <w:rFonts w:hint="eastAsia" w:cs="黑体" w:asciiTheme="minorEastAsia" w:hAnsiTheme="minorEastAsia"/>
          <w:color w:val="000000"/>
          <w:kern w:val="0"/>
          <w:sz w:val="32"/>
          <w:szCs w:val="32"/>
        </w:rPr>
        <w:t>是指用于社会保障和就业方面的支出，包括保障机构正常运转、完成日常和特定的工作任务或事业发展目标的支出。归口管理的行政单位离退休，指离退休人员管理机构统一管理的机关离退休人员的经费。</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八、医疗卫生与计划生育支出（类）：</w:t>
      </w:r>
      <w:r>
        <w:rPr>
          <w:rFonts w:hint="eastAsia" w:cs="黑体" w:asciiTheme="minorEastAsia" w:hAnsiTheme="minorEastAsia"/>
          <w:color w:val="000000"/>
          <w:kern w:val="0"/>
          <w:sz w:val="32"/>
          <w:szCs w:val="32"/>
        </w:rPr>
        <w:t>是指用于医疗卫生与计划生育方面的支出，包括保障机构正常运转、完成日常和特定的工作任务或事业发展目标的支出。</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九、住房保障支出（类）：</w:t>
      </w:r>
      <w:r>
        <w:rPr>
          <w:rFonts w:hint="eastAsia" w:cs="黑体" w:asciiTheme="minorEastAsia" w:hAnsiTheme="minorEastAsia"/>
          <w:color w:val="000000"/>
          <w:kern w:val="0"/>
          <w:sz w:val="32"/>
          <w:szCs w:val="32"/>
        </w:rPr>
        <w:t>是指用于住房方面的支出，包括保障机构正常运转、完成日常和特定的工作任务或事业发展目标的支出。</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十、基本支出：</w:t>
      </w:r>
      <w:r>
        <w:rPr>
          <w:rFonts w:hint="eastAsia" w:cs="黑体" w:asciiTheme="minorEastAsia" w:hAnsiTheme="minorEastAsia"/>
          <w:color w:val="000000"/>
          <w:kern w:val="0"/>
          <w:sz w:val="32"/>
          <w:szCs w:val="32"/>
        </w:rPr>
        <w:t>指保障机构正常运转、完成支日常工作任务而发生的人员支出和公用支出。</w:t>
      </w:r>
    </w:p>
    <w:p>
      <w:pPr>
        <w:jc w:val="left"/>
        <w:rPr>
          <w:rFonts w:cs="黑体" w:asciiTheme="minorEastAsia" w:hAnsiTheme="minorEastAsia"/>
          <w:color w:val="000000"/>
          <w:kern w:val="0"/>
          <w:sz w:val="32"/>
          <w:szCs w:val="32"/>
        </w:rPr>
      </w:pPr>
      <w:r>
        <w:rPr>
          <w:rFonts w:hint="eastAsia" w:ascii="黑体" w:eastAsia="黑体" w:cs="黑体"/>
          <w:b/>
          <w:color w:val="000000"/>
          <w:kern w:val="0"/>
          <w:sz w:val="32"/>
          <w:szCs w:val="32"/>
        </w:rPr>
        <w:t>十一、项目支出：</w:t>
      </w:r>
      <w:r>
        <w:rPr>
          <w:rFonts w:hint="eastAsia" w:cs="黑体" w:asciiTheme="minorEastAsia" w:hAnsiTheme="minorEastAsia"/>
          <w:color w:val="000000"/>
          <w:kern w:val="0"/>
          <w:sz w:val="32"/>
          <w:szCs w:val="32"/>
        </w:rPr>
        <w:t>指在基本支出之外为完成特定行政任务和事业发展目标所发生的支出。</w:t>
      </w:r>
    </w:p>
    <w:p>
      <w:pPr>
        <w:jc w:val="left"/>
        <w:rPr>
          <w:rFonts w:cs="黑体" w:asciiTheme="minorEastAsia" w:hAnsiTheme="minorEastAsia"/>
          <w:color w:val="000000"/>
          <w:kern w:val="0"/>
          <w:sz w:val="40"/>
          <w:szCs w:val="32"/>
        </w:rPr>
      </w:pPr>
      <w:r>
        <w:rPr>
          <w:rFonts w:hint="eastAsia" w:ascii="黑体" w:eastAsia="黑体" w:cs="黑体"/>
          <w:b/>
          <w:color w:val="000000"/>
          <w:kern w:val="0"/>
          <w:sz w:val="32"/>
          <w:szCs w:val="32"/>
        </w:rPr>
        <w:t>十二、政府采购：</w:t>
      </w:r>
      <w:r>
        <w:rPr>
          <w:rFonts w:hint="eastAsia" w:cs="黑体" w:asciiTheme="minorEastAsia" w:hAnsiTheme="minorEastAsia"/>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1"/>
        <w:ind w:firstLine="648"/>
        <w:rPr>
          <w:rFonts w:asciiTheme="minorEastAsia" w:hAnsiTheme="minorEastAsia" w:eastAsiaTheme="minorEastAsia"/>
          <w:sz w:val="32"/>
          <w:szCs w:val="32"/>
        </w:rPr>
      </w:pPr>
    </w:p>
    <w:p>
      <w:pPr>
        <w:pStyle w:val="11"/>
        <w:ind w:firstLine="648"/>
        <w:rPr>
          <w:rFonts w:asciiTheme="minorEastAsia" w:hAnsiTheme="minorEastAsia" w:eastAsiaTheme="minorEastAsia"/>
          <w:sz w:val="32"/>
          <w:szCs w:val="32"/>
        </w:rPr>
      </w:pPr>
    </w:p>
    <w:p>
      <w:pPr>
        <w:pStyle w:val="11"/>
        <w:ind w:firstLine="648"/>
        <w:rPr>
          <w:rFonts w:hint="eastAsia"/>
        </w:rPr>
      </w:pPr>
    </w:p>
    <w:p>
      <w:pPr>
        <w:pStyle w:val="11"/>
        <w:ind w:firstLine="648"/>
        <w:rPr>
          <w:rFonts w:asciiTheme="minorEastAsia" w:hAnsiTheme="minorEastAsia" w:eastAsiaTheme="minorEastAsia"/>
          <w:sz w:val="32"/>
          <w:szCs w:val="32"/>
        </w:rPr>
      </w:pPr>
    </w:p>
    <w:p>
      <w:pPr>
        <w:pStyle w:val="11"/>
        <w:ind w:firstLine="648"/>
        <w:rPr>
          <w:rFonts w:asciiTheme="minorEastAsia" w:hAnsiTheme="minorEastAsia" w:eastAsiaTheme="minorEastAsia"/>
          <w:sz w:val="32"/>
          <w:szCs w:val="32"/>
        </w:rPr>
      </w:pPr>
    </w:p>
    <w:p>
      <w:pPr>
        <w:pStyle w:val="11"/>
        <w:ind w:firstLine="648"/>
        <w:rPr>
          <w:rFonts w:asciiTheme="minorEastAsia" w:hAnsiTheme="minorEastAsia" w:eastAsiaTheme="minorEastAsia"/>
          <w:sz w:val="32"/>
          <w:szCs w:val="3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pStyle w:val="11"/>
        <w:ind w:firstLine="648"/>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"岳阳市第五中学决算公开表.xls" </w:instrText>
      </w:r>
      <w:r>
        <w:rPr>
          <w:rFonts w:hint="eastAsia" w:asciiTheme="minorEastAsia" w:hAnsiTheme="minorEastAsia" w:eastAsiaTheme="minorEastAsia" w:cstheme="minorEastAsia"/>
          <w:sz w:val="32"/>
          <w:szCs w:val="32"/>
        </w:rPr>
        <w:fldChar w:fldCharType="separate"/>
      </w:r>
      <w:r>
        <w:rPr>
          <w:rStyle w:val="8"/>
          <w:rFonts w:hint="eastAsia" w:asciiTheme="minorEastAsia" w:hAnsiTheme="minorEastAsia" w:eastAsiaTheme="minorEastAsia" w:cstheme="minorEastAsia"/>
          <w:sz w:val="32"/>
          <w:szCs w:val="32"/>
        </w:rPr>
        <w:t>岳阳市第五中学决算公开表.xls</w:t>
      </w:r>
      <w:r>
        <w:rPr>
          <w:rStyle w:val="8"/>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p>
      <w:pPr>
        <w:pStyle w:val="11"/>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color w:val="000000"/>
          <w:sz w:val="32"/>
          <w:szCs w:val="32"/>
        </w:rPr>
        <w:t>部门（单位）整体支出绩效自评情况</w:t>
      </w:r>
      <w:r>
        <w:rPr>
          <w:rFonts w:hint="eastAsia" w:asciiTheme="minorEastAsia" w:hAnsiTheme="minorEastAsia" w:eastAsiaTheme="minorEastAsia" w:cstheme="minorEastAsia"/>
          <w:color w:val="000000"/>
          <w:sz w:val="32"/>
          <w:szCs w:val="32"/>
          <w:lang w:val="en-US" w:eastAsia="zh-CN"/>
        </w:rPr>
        <w:t>表</w:t>
      </w:r>
    </w:p>
    <w:tbl>
      <w:tblPr>
        <w:tblStyle w:val="5"/>
        <w:tblW w:w="10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2058"/>
        <w:gridCol w:w="1549"/>
        <w:gridCol w:w="1417"/>
        <w:gridCol w:w="808"/>
        <w:gridCol w:w="1901"/>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41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058"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377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1：学校依法依规办学，面向全体学生,依法履行学校的教育责任；</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2：教师在教学中因材施教，树立以教学质量为生命的办学思想；</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3：教学质量稳步提升。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4：严格管理学校各项开支，控制三公经费支出；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5、保障教职员工的工资福利待遇，保证学校各项工作顺利开展；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6、保障全体师生安全，提高教学质量，稳定教学秩序。</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c>
          <w:tcPr>
            <w:tcW w:w="458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按质按量完成年初预定目标，单位总体运行情况很好。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058"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初中毕业会考合格率85%，优秀率40%</w:t>
            </w: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spacing w:line="320" w:lineRule="exact"/>
              <w:rPr>
                <w:rFonts w:ascii="仿宋_GB2312" w:hAnsi="仿宋_GB2312" w:eastAsia="仿宋_GB2312" w:cs="仿宋_GB2312"/>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学考合格率95%</w:t>
            </w: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spacing w:line="320" w:lineRule="exact"/>
              <w:rPr>
                <w:rFonts w:ascii="仿宋_GB2312" w:hAnsi="仿宋_GB2312" w:eastAsia="仿宋_GB2312" w:cs="仿宋_GB2312"/>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高考本科上线率50%</w:t>
            </w: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学考合格率95%</w:t>
            </w: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组织全体老师参加继续教育提升教学业务水平。</w:t>
            </w: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我校完成上述目标时效是2020年全年度</w:t>
            </w:r>
          </w:p>
          <w:p>
            <w:pPr>
              <w:autoSpaceDN w:val="0"/>
              <w:spacing w:line="320" w:lineRule="exact"/>
              <w:jc w:val="left"/>
              <w:textAlignment w:val="center"/>
              <w:rPr>
                <w:rFonts w:ascii="仿宋_GB2312" w:hAnsi="仿宋_GB2312" w:eastAsia="仿宋_GB2312" w:cs="仿宋_GB2312"/>
                <w:color w:val="000000"/>
                <w:sz w:val="24"/>
              </w:rPr>
            </w:pPr>
          </w:p>
        </w:tc>
        <w:tc>
          <w:tcPr>
            <w:tcW w:w="2684" w:type="dxa"/>
            <w:vAlign w:val="center"/>
          </w:tcPr>
          <w:p>
            <w:pPr>
              <w:jc w:val="center"/>
              <w:rPr>
                <w:rFonts w:ascii="仿宋_GB2312" w:hAnsi="宋体" w:eastAsia="仿宋_GB2312" w:cs="宋体"/>
                <w:sz w:val="24"/>
              </w:rPr>
            </w:pPr>
            <w:r>
              <w:rPr>
                <w:rFonts w:hint="eastAsia" w:ascii="仿宋_GB2312" w:eastAsia="仿宋_GB2312"/>
              </w:rPr>
              <w:t>按时完成</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vAlign w:val="center"/>
          </w:tcPr>
          <w:p>
            <w:pPr>
              <w:jc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支出控制在预算内。</w:t>
            </w:r>
          </w:p>
          <w:p>
            <w:pPr>
              <w:autoSpaceDN w:val="0"/>
              <w:spacing w:line="320" w:lineRule="exact"/>
              <w:jc w:val="left"/>
              <w:textAlignment w:val="center"/>
              <w:rPr>
                <w:rFonts w:ascii="仿宋_GB2312" w:hAnsi="仿宋_GB2312" w:eastAsia="仿宋_GB2312" w:cs="仿宋_GB2312"/>
                <w:color w:val="000000"/>
                <w:sz w:val="24"/>
              </w:rPr>
            </w:pP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全年支出3858.81万元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保障全体教职工工资福利待遇足额及时发放。</w:t>
            </w:r>
          </w:p>
          <w:p>
            <w:pPr>
              <w:autoSpaceDN w:val="0"/>
              <w:spacing w:line="320" w:lineRule="exact"/>
              <w:jc w:val="left"/>
              <w:textAlignment w:val="center"/>
              <w:rPr>
                <w:rFonts w:ascii="仿宋_GB2312" w:hAnsi="仿宋_GB2312" w:eastAsia="仿宋_GB2312" w:cs="仿宋_GB2312"/>
                <w:color w:val="000000"/>
                <w:sz w:val="24"/>
              </w:rPr>
            </w:pP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人员支出1565.86</w:t>
            </w:r>
            <w:r>
              <w:rPr>
                <w:rFonts w:hint="eastAsia" w:ascii="仿宋_GB2312" w:hAnsi="仿宋_GB2312" w:eastAsia="仿宋_GB2312" w:cs="仿宋_GB2312"/>
                <w:b/>
                <w:color w:val="00000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专项经费专款专用。</w:t>
            </w:r>
          </w:p>
          <w:p>
            <w:pPr>
              <w:autoSpaceDN w:val="0"/>
              <w:spacing w:line="320" w:lineRule="exact"/>
              <w:jc w:val="left"/>
              <w:textAlignment w:val="center"/>
              <w:rPr>
                <w:rFonts w:ascii="仿宋_GB2312" w:hAnsi="仿宋_GB2312" w:eastAsia="仿宋_GB2312" w:cs="仿宋_GB2312"/>
                <w:color w:val="000000"/>
                <w:sz w:val="24"/>
              </w:rPr>
            </w:pPr>
          </w:p>
        </w:tc>
        <w:tc>
          <w:tcPr>
            <w:tcW w:w="2684" w:type="dxa"/>
            <w:vAlign w:val="center"/>
          </w:tcPr>
          <w:p>
            <w:pPr>
              <w:autoSpaceDN w:val="0"/>
              <w:spacing w:line="32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项目支出155.9</w:t>
            </w:r>
            <w:r>
              <w:rPr>
                <w:rFonts w:hint="eastAsia" w:ascii="仿宋_GB2312" w:hAnsi="仿宋_GB2312" w:eastAsia="仿宋_GB2312" w:cs="仿宋_GB2312"/>
                <w:b/>
                <w:color w:val="000000"/>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2"/>
            <w:vAlign w:val="center"/>
          </w:tcPr>
          <w:p>
            <w:pPr>
              <w:rPr>
                <w:rFonts w:ascii="仿宋_GB2312" w:hAnsi="宋体" w:eastAsia="仿宋_GB2312" w:cs="宋体"/>
                <w:sz w:val="20"/>
                <w:szCs w:val="20"/>
              </w:rPr>
            </w:pPr>
            <w:r>
              <w:rPr>
                <w:rFonts w:hint="eastAsia" w:ascii="仿宋_GB2312" w:eastAsia="仿宋_GB2312"/>
                <w:sz w:val="20"/>
                <w:szCs w:val="20"/>
              </w:rPr>
              <w:t>我校将坚持以服务教育教学为中心，保障正常开展各项教育教学活动为重点，努力提高教育教学水平，促进学生的德智体全面发展，利用校园网、微信平台、家长会、班级家长QQ群等集中宣传习近平总书记的系列重要讲话精神。</w:t>
            </w:r>
          </w:p>
        </w:tc>
        <w:tc>
          <w:tcPr>
            <w:tcW w:w="2684" w:type="dxa"/>
            <w:vAlign w:val="center"/>
          </w:tcPr>
          <w:p>
            <w:pPr>
              <w:jc w:val="center"/>
              <w:rPr>
                <w:rFonts w:ascii="仿宋_GB2312" w:hAnsi="宋体" w:eastAsia="仿宋_GB2312" w:cs="宋体"/>
                <w:sz w:val="24"/>
              </w:rPr>
            </w:pPr>
            <w:r>
              <w:rPr>
                <w:rFonts w:hint="eastAsia" w:ascii="仿宋_GB2312" w:eastAsia="仿宋_GB2312"/>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2"/>
            <w:vAlign w:val="center"/>
          </w:tcPr>
          <w:p>
            <w:pPr>
              <w:jc w:val="left"/>
              <w:rPr>
                <w:rFonts w:ascii="仿宋_GB2312" w:hAnsi="宋体" w:eastAsia="仿宋_GB2312" w:cs="宋体"/>
                <w:sz w:val="20"/>
                <w:szCs w:val="20"/>
              </w:rPr>
            </w:pPr>
            <w:r>
              <w:rPr>
                <w:rFonts w:hint="eastAsia" w:ascii="仿宋_GB2312" w:eastAsia="仿宋_GB2312"/>
                <w:sz w:val="20"/>
                <w:szCs w:val="20"/>
              </w:rPr>
              <w:t>我校将狠抓精细化管理，加强师德修养，树立良好的教育形象。通过骨干培训、专题研讨、专家报告、辅导讲座、网络教育等形式，进一步树立教师教书育人、为人师表讲奉献的崇高职业精神。</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2"/>
            <w:vAlign w:val="center"/>
          </w:tcPr>
          <w:p>
            <w:pPr>
              <w:rPr>
                <w:rFonts w:ascii="仿宋_GB2312" w:hAnsi="宋体" w:eastAsia="仿宋_GB2312" w:cs="宋体"/>
                <w:sz w:val="20"/>
                <w:szCs w:val="20"/>
              </w:rPr>
            </w:pPr>
            <w:r>
              <w:rPr>
                <w:rFonts w:hint="eastAsia" w:ascii="仿宋_GB2312" w:eastAsia="仿宋_GB2312"/>
                <w:sz w:val="20"/>
                <w:szCs w:val="20"/>
              </w:rPr>
              <w:t>我校网络全覆盖、学生机房等信息化、田径场改造，努力打造一个“博学、知礼、雅行”的健康新校园。</w:t>
            </w:r>
          </w:p>
        </w:tc>
        <w:tc>
          <w:tcPr>
            <w:tcW w:w="2684" w:type="dxa"/>
            <w:vAlign w:val="center"/>
          </w:tcPr>
          <w:p>
            <w:pPr>
              <w:jc w:val="center"/>
              <w:rPr>
                <w:rFonts w:ascii="仿宋_GB2312" w:hAnsi="宋体" w:eastAsia="仿宋_GB2312" w:cs="宋体"/>
                <w:sz w:val="24"/>
              </w:rPr>
            </w:pPr>
            <w:r>
              <w:rPr>
                <w:rFonts w:hint="eastAsia" w:ascii="仿宋_GB2312" w:eastAsia="仿宋_GB2312"/>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2058" w:type="dxa"/>
            <w:vMerge w:val="continue"/>
            <w:vAlign w:val="center"/>
          </w:tcPr>
          <w:p>
            <w:pPr>
              <w:spacing w:line="320" w:lineRule="exact"/>
              <w:rPr>
                <w:rFonts w:ascii="仿宋_GB2312" w:hAnsi="仿宋_GB2312" w:eastAsia="仿宋_GB2312" w:cs="仿宋_GB2312"/>
                <w:sz w:val="24"/>
              </w:rPr>
            </w:pPr>
          </w:p>
        </w:tc>
        <w:tc>
          <w:tcPr>
            <w:tcW w:w="1549" w:type="dxa"/>
            <w:vMerge w:val="continue"/>
            <w:vAlign w:val="center"/>
          </w:tcPr>
          <w:p>
            <w:pPr>
              <w:autoSpaceDN w:val="0"/>
              <w:spacing w:line="320" w:lineRule="exact"/>
              <w:rPr>
                <w:rFonts w:ascii="仿宋_GB2312" w:hAnsi="仿宋_GB2312" w:eastAsia="仿宋_GB2312" w:cs="仿宋_GB2312"/>
                <w:sz w:val="24"/>
              </w:rPr>
            </w:pPr>
          </w:p>
        </w:tc>
        <w:tc>
          <w:tcPr>
            <w:tcW w:w="141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1304" w:type="dxa"/>
            <w:gridSpan w:val="2"/>
            <w:vAlign w:val="center"/>
          </w:tcPr>
          <w:p>
            <w:pPr>
              <w:rPr>
                <w:rFonts w:ascii="仿宋_GB2312" w:hAnsi="宋体" w:eastAsia="仿宋_GB2312" w:cs="宋体"/>
                <w:sz w:val="20"/>
                <w:szCs w:val="20"/>
              </w:rPr>
            </w:pPr>
            <w:r>
              <w:rPr>
                <w:rFonts w:hint="eastAsia" w:ascii="仿宋_GB2312" w:eastAsia="仿宋_GB2312"/>
                <w:sz w:val="20"/>
                <w:szCs w:val="20"/>
              </w:rPr>
              <w:t>实现我校办学行为规范,无乱收费、违规招生、体罚学生等违规行为。学校设有收费公示栏，校务公开栏。家长对学校满意度达到95%，无投诉现象发生。</w:t>
            </w:r>
          </w:p>
        </w:tc>
        <w:tc>
          <w:tcPr>
            <w:tcW w:w="2684" w:type="dxa"/>
            <w:vAlign w:val="center"/>
          </w:tcPr>
          <w:p>
            <w:pPr>
              <w:jc w:val="center"/>
              <w:rPr>
                <w:rFonts w:ascii="仿宋_GB2312" w:hAnsi="宋体" w:eastAsia="仿宋_GB2312" w:cs="宋体"/>
                <w:sz w:val="24"/>
              </w:rPr>
            </w:pPr>
            <w:r>
              <w:rPr>
                <w:rFonts w:hint="eastAsia" w:ascii="仿宋_GB2312" w:eastAsia="仿宋_GB2312"/>
              </w:rPr>
              <w:t>100%</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6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6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优</w:t>
            </w:r>
          </w:p>
        </w:tc>
      </w:tr>
    </w:tbl>
    <w:p>
      <w:pPr>
        <w:pStyle w:val="11"/>
        <w:ind w:firstLine="648"/>
        <w:rPr>
          <w:rFonts w:asciiTheme="minorEastAsia" w:hAnsiTheme="minorEastAsia" w:eastAsiaTheme="minorEastAsia"/>
          <w:sz w:val="32"/>
          <w:szCs w:val="32"/>
        </w:rPr>
      </w:pP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yY2NjYWY0NDFlNmY3YWVjMmFlMWExMWMzMDYzZTMifQ=="/>
  </w:docVars>
  <w:rsids>
    <w:rsidRoot w:val="004506F9"/>
    <w:rsid w:val="00000CC6"/>
    <w:rsid w:val="0002229B"/>
    <w:rsid w:val="000273BD"/>
    <w:rsid w:val="000415B7"/>
    <w:rsid w:val="00041E3F"/>
    <w:rsid w:val="00055DAA"/>
    <w:rsid w:val="00061F7B"/>
    <w:rsid w:val="000658A3"/>
    <w:rsid w:val="00074155"/>
    <w:rsid w:val="00075536"/>
    <w:rsid w:val="000A3F69"/>
    <w:rsid w:val="000E3EB2"/>
    <w:rsid w:val="000F6805"/>
    <w:rsid w:val="00103957"/>
    <w:rsid w:val="00152C6D"/>
    <w:rsid w:val="001530FF"/>
    <w:rsid w:val="00162D39"/>
    <w:rsid w:val="001678BD"/>
    <w:rsid w:val="0018363D"/>
    <w:rsid w:val="00185DB4"/>
    <w:rsid w:val="001A67DB"/>
    <w:rsid w:val="001C3C29"/>
    <w:rsid w:val="001D4F1A"/>
    <w:rsid w:val="001D51E5"/>
    <w:rsid w:val="001E080D"/>
    <w:rsid w:val="001E53D0"/>
    <w:rsid w:val="001F0C3B"/>
    <w:rsid w:val="00202C82"/>
    <w:rsid w:val="00210B4D"/>
    <w:rsid w:val="00214427"/>
    <w:rsid w:val="00226CB7"/>
    <w:rsid w:val="0023101D"/>
    <w:rsid w:val="00251D5F"/>
    <w:rsid w:val="00264552"/>
    <w:rsid w:val="00264EF9"/>
    <w:rsid w:val="00265724"/>
    <w:rsid w:val="0027426B"/>
    <w:rsid w:val="002850B2"/>
    <w:rsid w:val="002C459F"/>
    <w:rsid w:val="002D7169"/>
    <w:rsid w:val="002E0A30"/>
    <w:rsid w:val="00305FE1"/>
    <w:rsid w:val="003130C4"/>
    <w:rsid w:val="00316C4B"/>
    <w:rsid w:val="0032192B"/>
    <w:rsid w:val="00330F65"/>
    <w:rsid w:val="003479BD"/>
    <w:rsid w:val="00353197"/>
    <w:rsid w:val="0037197D"/>
    <w:rsid w:val="003768D5"/>
    <w:rsid w:val="003979DE"/>
    <w:rsid w:val="003C47E6"/>
    <w:rsid w:val="003C4FC2"/>
    <w:rsid w:val="003C7D79"/>
    <w:rsid w:val="00416E61"/>
    <w:rsid w:val="0042790C"/>
    <w:rsid w:val="004506F9"/>
    <w:rsid w:val="00460182"/>
    <w:rsid w:val="00460F8F"/>
    <w:rsid w:val="004717A2"/>
    <w:rsid w:val="00473DF3"/>
    <w:rsid w:val="00487911"/>
    <w:rsid w:val="00491741"/>
    <w:rsid w:val="004E4F58"/>
    <w:rsid w:val="00500E5F"/>
    <w:rsid w:val="00505DD7"/>
    <w:rsid w:val="00510737"/>
    <w:rsid w:val="005122EF"/>
    <w:rsid w:val="0051441A"/>
    <w:rsid w:val="00517C33"/>
    <w:rsid w:val="00523644"/>
    <w:rsid w:val="0054069E"/>
    <w:rsid w:val="00544866"/>
    <w:rsid w:val="005767CC"/>
    <w:rsid w:val="00590D9F"/>
    <w:rsid w:val="00592E7C"/>
    <w:rsid w:val="00595D26"/>
    <w:rsid w:val="005A74E6"/>
    <w:rsid w:val="005B404E"/>
    <w:rsid w:val="005B74B2"/>
    <w:rsid w:val="005D4D55"/>
    <w:rsid w:val="005E2178"/>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06875"/>
    <w:rsid w:val="00717006"/>
    <w:rsid w:val="00717621"/>
    <w:rsid w:val="00720FF1"/>
    <w:rsid w:val="00727A53"/>
    <w:rsid w:val="00770C9A"/>
    <w:rsid w:val="00787B42"/>
    <w:rsid w:val="007B0AB1"/>
    <w:rsid w:val="007C4539"/>
    <w:rsid w:val="007E6259"/>
    <w:rsid w:val="007F3657"/>
    <w:rsid w:val="00804F24"/>
    <w:rsid w:val="00812ED5"/>
    <w:rsid w:val="0082427A"/>
    <w:rsid w:val="008277D9"/>
    <w:rsid w:val="0084478C"/>
    <w:rsid w:val="008535F2"/>
    <w:rsid w:val="0086638C"/>
    <w:rsid w:val="008A3E8D"/>
    <w:rsid w:val="008D7B61"/>
    <w:rsid w:val="009237C4"/>
    <w:rsid w:val="00944C48"/>
    <w:rsid w:val="00950252"/>
    <w:rsid w:val="0095294D"/>
    <w:rsid w:val="00967F5D"/>
    <w:rsid w:val="00975E68"/>
    <w:rsid w:val="009A0F95"/>
    <w:rsid w:val="009B3ADF"/>
    <w:rsid w:val="009B7EB7"/>
    <w:rsid w:val="009C3B52"/>
    <w:rsid w:val="009E6817"/>
    <w:rsid w:val="009E68FE"/>
    <w:rsid w:val="009E6E9A"/>
    <w:rsid w:val="00A01D2B"/>
    <w:rsid w:val="00A42218"/>
    <w:rsid w:val="00A70249"/>
    <w:rsid w:val="00A70B02"/>
    <w:rsid w:val="00A719A8"/>
    <w:rsid w:val="00A71D9F"/>
    <w:rsid w:val="00A85265"/>
    <w:rsid w:val="00A864D0"/>
    <w:rsid w:val="00A92E9F"/>
    <w:rsid w:val="00B01358"/>
    <w:rsid w:val="00B33BEA"/>
    <w:rsid w:val="00B45ADC"/>
    <w:rsid w:val="00B57C9F"/>
    <w:rsid w:val="00B60DD0"/>
    <w:rsid w:val="00B63572"/>
    <w:rsid w:val="00B67F32"/>
    <w:rsid w:val="00B81A62"/>
    <w:rsid w:val="00B845B3"/>
    <w:rsid w:val="00B85D8B"/>
    <w:rsid w:val="00B916C3"/>
    <w:rsid w:val="00B93844"/>
    <w:rsid w:val="00BB4A40"/>
    <w:rsid w:val="00BD6C3E"/>
    <w:rsid w:val="00BE3674"/>
    <w:rsid w:val="00C10681"/>
    <w:rsid w:val="00C12F9D"/>
    <w:rsid w:val="00C14DE6"/>
    <w:rsid w:val="00C3049A"/>
    <w:rsid w:val="00C31B1E"/>
    <w:rsid w:val="00C77645"/>
    <w:rsid w:val="00CE04C3"/>
    <w:rsid w:val="00CE76A0"/>
    <w:rsid w:val="00CF2D59"/>
    <w:rsid w:val="00CF59F0"/>
    <w:rsid w:val="00CF6CAE"/>
    <w:rsid w:val="00D05F0E"/>
    <w:rsid w:val="00D07D37"/>
    <w:rsid w:val="00D148C6"/>
    <w:rsid w:val="00D17A8A"/>
    <w:rsid w:val="00D415BA"/>
    <w:rsid w:val="00D644EE"/>
    <w:rsid w:val="00D64991"/>
    <w:rsid w:val="00D90AA2"/>
    <w:rsid w:val="00D95027"/>
    <w:rsid w:val="00DD06FF"/>
    <w:rsid w:val="00DD5A3A"/>
    <w:rsid w:val="00DD5FE9"/>
    <w:rsid w:val="00E00C7A"/>
    <w:rsid w:val="00E37D6C"/>
    <w:rsid w:val="00E44217"/>
    <w:rsid w:val="00E55B68"/>
    <w:rsid w:val="00E5785F"/>
    <w:rsid w:val="00E67BE6"/>
    <w:rsid w:val="00E8683C"/>
    <w:rsid w:val="00E97977"/>
    <w:rsid w:val="00EA2B72"/>
    <w:rsid w:val="00EB6B7C"/>
    <w:rsid w:val="00EE22C9"/>
    <w:rsid w:val="00F17616"/>
    <w:rsid w:val="00F44430"/>
    <w:rsid w:val="00F645AE"/>
    <w:rsid w:val="00F74360"/>
    <w:rsid w:val="00FB462F"/>
    <w:rsid w:val="00FE16FA"/>
    <w:rsid w:val="00FE328A"/>
    <w:rsid w:val="00FE6269"/>
    <w:rsid w:val="13896659"/>
    <w:rsid w:val="15BF3D1A"/>
    <w:rsid w:val="264A6D8D"/>
    <w:rsid w:val="321E6330"/>
    <w:rsid w:val="33AA1B00"/>
    <w:rsid w:val="67A77129"/>
    <w:rsid w:val="7A04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character" w:styleId="7">
    <w:name w:val="FollowedHyperlink"/>
    <w:basedOn w:val="6"/>
    <w:semiHidden/>
    <w:unhideWhenUsed/>
    <w:uiPriority w:val="99"/>
    <w:rPr>
      <w:color w:val="800080" w:themeColor="followedHyperlink"/>
      <w:u w:val="single"/>
    </w:rPr>
  </w:style>
  <w:style w:type="character" w:styleId="8">
    <w:name w:val="Hyperlink"/>
    <w:basedOn w:val="6"/>
    <w:unhideWhenUsed/>
    <w:uiPriority w:val="99"/>
    <w:rPr>
      <w:color w:val="0000FF" w:themeColor="hyperlink"/>
      <w:u w:val="single"/>
    </w:rPr>
  </w:style>
  <w:style w:type="character" w:customStyle="1" w:styleId="9">
    <w:name w:val="页眉 Char"/>
    <w:basedOn w:val="6"/>
    <w:link w:val="2"/>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BB78-CC68-4A00-B117-810A72ED9E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5331</Words>
  <Characters>5880</Characters>
  <Lines>36</Lines>
  <Paragraphs>10</Paragraphs>
  <TotalTime>1</TotalTime>
  <ScaleCrop>false</ScaleCrop>
  <LinksUpToDate>false</LinksUpToDate>
  <CharactersWithSpaces>5942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2021-09-15T03:15:00Z</dcterms:created>
  <dc:creator>李航 null</dc:creator>
  <cp:lastModifiedBy>何蔚</cp:lastModifiedBy>
  <cp:lastPrinted>2021-07-28T00:12:00Z</cp:lastPrinted>
  <dcterms:modified xsi:type="dcterms:W3CDTF">2022-08-20T09:44:19Z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2C4B91DB4E074FE480C01270853A400F</vt:lpwstr>
  </property>
</Properties>
</file>